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lineRule="auto" w:line="240" w:before="0" w:after="0"/>
        <w:jc w:val="center"/>
        <w:rPr>
          <w:b/>
        </w:rPr>
      </w:pPr>
      <w:r>
        <w:rPr>
          <w:rFonts w:ascii="Times New Roman" w:hAnsi="Times New Roman"/>
          <w:b/>
          <w:sz w:val="28"/>
        </w:rPr>
        <w:t>МЕТОДИЧЕСКИЕ РЕКОМЕНДАЦИИ</w:t>
      </w:r>
    </w:p>
    <w:p>
      <w:pPr>
        <w:pStyle w:val="Normal"/>
        <w:widowControl/>
        <w:spacing w:lineRule="auto" w:line="240" w:before="0" w:after="0"/>
        <w:jc w:val="center"/>
        <w:rPr>
          <w:rFonts w:ascii="Times New Roman" w:hAnsi="Times New Roman"/>
          <w:sz w:val="28"/>
        </w:rPr>
      </w:pPr>
      <w:r>
        <w:rPr>
          <w:rFonts w:ascii="Times New Roman" w:hAnsi="Times New Roman"/>
          <w:sz w:val="28"/>
        </w:rPr>
        <w:t xml:space="preserve">по осуществлению закупок товаров, работ, услуг </w:t>
      </w:r>
    </w:p>
    <w:p>
      <w:pPr>
        <w:pStyle w:val="Normal"/>
        <w:widowControl/>
        <w:spacing w:lineRule="auto" w:line="240" w:before="0" w:after="0"/>
        <w:jc w:val="center"/>
        <w:rPr>
          <w:rFonts w:ascii="Times New Roman" w:hAnsi="Times New Roman"/>
          <w:sz w:val="28"/>
        </w:rPr>
      </w:pPr>
      <w:r>
        <w:rPr>
          <w:rFonts w:ascii="Times New Roman" w:hAnsi="Times New Roman"/>
          <w:sz w:val="28"/>
        </w:rPr>
        <w:t xml:space="preserve">у единственного поставщика (подрядчика, исполнителя) </w:t>
      </w:r>
    </w:p>
    <w:p>
      <w:pPr>
        <w:pStyle w:val="Normal"/>
        <w:widowControl/>
        <w:spacing w:lineRule="auto" w:line="240" w:before="0" w:after="0"/>
        <w:jc w:val="center"/>
        <w:rPr>
          <w:rFonts w:ascii="Times New Roman" w:hAnsi="Times New Roman"/>
          <w:sz w:val="28"/>
        </w:rPr>
      </w:pPr>
      <w:r>
        <w:rPr>
          <w:rFonts w:ascii="Times New Roman" w:hAnsi="Times New Roman"/>
          <w:sz w:val="28"/>
        </w:rPr>
        <w:t xml:space="preserve">в соответствии с Федеральным законом от 18.07.2011 № 223-ФЗ </w:t>
      </w:r>
    </w:p>
    <w:p>
      <w:pPr>
        <w:pStyle w:val="Normal"/>
        <w:widowControl/>
        <w:spacing w:lineRule="auto" w:line="240" w:before="0" w:after="0"/>
        <w:jc w:val="center"/>
        <w:rPr>
          <w:rFonts w:ascii="Times New Roman" w:hAnsi="Times New Roman"/>
          <w:sz w:val="28"/>
        </w:rPr>
      </w:pPr>
      <w:r>
        <w:rPr>
          <w:rFonts w:ascii="Times New Roman" w:hAnsi="Times New Roman"/>
          <w:sz w:val="28"/>
        </w:rPr>
        <w:t>«О закупках товаров, работ, услуг отдельными видами</w:t>
      </w:r>
    </w:p>
    <w:p>
      <w:pPr>
        <w:pStyle w:val="Normal"/>
        <w:widowControl/>
        <w:spacing w:lineRule="auto" w:line="240" w:before="0" w:after="0"/>
        <w:jc w:val="center"/>
        <w:rPr>
          <w:rFonts w:ascii="Times New Roman" w:hAnsi="Times New Roman"/>
          <w:sz w:val="28"/>
        </w:rPr>
      </w:pPr>
      <w:r>
        <w:rPr>
          <w:rFonts w:ascii="Times New Roman" w:hAnsi="Times New Roman"/>
          <w:sz w:val="28"/>
        </w:rPr>
        <w:t xml:space="preserve"> </w:t>
      </w:r>
      <w:r>
        <w:rPr>
          <w:rFonts w:ascii="Times New Roman" w:hAnsi="Times New Roman"/>
          <w:sz w:val="28"/>
        </w:rPr>
        <w:t>юридических лиц»</w:t>
      </w:r>
    </w:p>
    <w:p>
      <w:pPr>
        <w:pStyle w:val="Normal"/>
        <w:widowControl/>
        <w:spacing w:lineRule="auto" w:line="240" w:before="0" w:after="0"/>
        <w:jc w:val="center"/>
        <w:rPr>
          <w:rFonts w:ascii="Times New Roman" w:hAnsi="Times New Roman"/>
          <w:sz w:val="28"/>
        </w:rPr>
      </w:pPr>
      <w:r>
        <w:rPr>
          <w:rFonts w:ascii="Times New Roman" w:hAnsi="Times New Roman"/>
          <w:sz w:val="28"/>
        </w:rPr>
      </w:r>
    </w:p>
    <w:p>
      <w:pPr>
        <w:pStyle w:val="Normal"/>
        <w:widowControl/>
        <w:spacing w:lineRule="auto" w:line="240" w:before="0" w:after="0"/>
        <w:ind w:hanging="0" w:left="0" w:right="0"/>
        <w:jc w:val="center"/>
        <w:rPr>
          <w:rFonts w:ascii="Times New Roman" w:hAnsi="Times New Roman"/>
          <w:b/>
          <w:caps/>
          <w:sz w:val="28"/>
        </w:rPr>
      </w:pPr>
      <w:r>
        <w:rPr>
          <w:rFonts w:ascii="Times New Roman" w:hAnsi="Times New Roman"/>
          <w:b/>
          <w:caps/>
          <w:sz w:val="28"/>
        </w:rPr>
        <w:t>1. Основные  положения</w:t>
      </w:r>
    </w:p>
    <w:p>
      <w:pPr>
        <w:pStyle w:val="Normal"/>
        <w:widowControl/>
        <w:spacing w:lineRule="auto" w:line="240" w:before="0" w:after="0"/>
        <w:ind w:firstLine="709" w:left="0" w:right="0"/>
        <w:jc w:val="center"/>
        <w:rPr>
          <w:rFonts w:ascii="Times New Roman" w:hAnsi="Times New Roman"/>
          <w:sz w:val="24"/>
          <w:szCs w:val="24"/>
        </w:rPr>
      </w:pPr>
      <w:r>
        <w:rPr>
          <w:rFonts w:ascii="Times New Roman" w:hAnsi="Times New Roman"/>
          <w:sz w:val="24"/>
          <w:szCs w:val="24"/>
        </w:rPr>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Настоящие Методические рекомендации разработаны в целях обеспечения единообразного подхода к подготовке и осуществлению закупок товаров, работ, услуг у единственного поставщика (подрядчика, исполнителя) (далее также- поставщик) в соответствии с Федеральным законом от 18.07.2011 № 223-ФЗ «О закупках товаров, работ, услуг отдельными видами юридических лиц» (далее — Закон № 223-ФЗ).</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Согласно части 1 статьи 3.6 Закона № 223-ФЗ порядок подготовки и осуществления закупки у единственного поставщика (подрядчика, исполнителя), а также исчерпывающий перечень случаев осуществления такой закупки устанавливаются положением о закупке. Согласно позиции ФАС России, положение о закупке должно также содержать перечень объективных причин (условий, оснований) закупки у единственного поставщика.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Закупка у единственного поставщика осуществляется не только с учетом положений статьи 3.6 Закона № 223-ФЗ, но и при соблюдении иных требований законодательства, имеющих отношение к конкретной закупке, в том числе: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принципов закупочной деятельности, установленных частью 1 статьи 3 Закона № 223-ФЗ;</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законодательства о защите конкуренции;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о национальном режиме;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к планированию закупок;</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к размещению информации в единой информационной системе;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к заключению, изменению и исполнению договора;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к ведению реестра договоров;</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требований, установленных положением о закупке заказчика.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Основная цель рекомендаций — предостеречь заказчиков от типичных нарушений, выявляемых ФАС России и судами, и предложить алгоритмы действий, обеспечивающие соблюдение принципов равноправия, справедливости, отсутствия дискриминации и необоснованных ограничений конкуренции (часть 1 статьи 3 Закона № 223-ФЗ). Поэтому настоящие методические рекомендации разработаны с учетом административной и судебной практики.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При осуществлении закупки у единственного поставщика заказчику рекомендуется последовательно проверить:</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предусмотрено ли соответствующее основание действующим положением о закупке;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имеются ли фактические обстоятельства, позволяющие применить это основание;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не приводит ли применение основания к необоснованному ограничению конкуренции;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соблюдены ли установленные положением о закупке условия и ограничения;</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необходимо ли включение закупки в план закупки;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подлежит ли иная информация о закупке размещению в ЕИС;</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применяются ли к закупке требования национального режима;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соблюдены ли требования к определению и обоснованию цены договора;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соблюдены ли требования к выбору и проверке контрагента;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имеются ли основания для внесения сведений о договоре в реестр договоров.</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hanging="57" w:left="0" w:right="0"/>
        <w:jc w:val="center"/>
        <w:rPr>
          <w:rFonts w:ascii="Times New Roman" w:hAnsi="Times New Roman"/>
          <w:b/>
          <w:caps/>
          <w:sz w:val="28"/>
        </w:rPr>
      </w:pPr>
      <w:r>
        <w:rPr>
          <w:rFonts w:ascii="Times New Roman" w:hAnsi="Times New Roman"/>
          <w:b/>
          <w:caps/>
          <w:sz w:val="28"/>
        </w:rPr>
        <w:t xml:space="preserve">2. Определение перечня случаев </w:t>
      </w:r>
    </w:p>
    <w:p>
      <w:pPr>
        <w:pStyle w:val="Normal"/>
        <w:widowControl/>
        <w:spacing w:lineRule="auto" w:line="240" w:before="0" w:after="0"/>
        <w:ind w:hanging="57" w:left="0" w:right="0"/>
        <w:jc w:val="center"/>
        <w:rPr>
          <w:rFonts w:ascii="Times New Roman" w:hAnsi="Times New Roman"/>
          <w:b/>
          <w:caps/>
          <w:sz w:val="28"/>
        </w:rPr>
      </w:pPr>
      <w:r>
        <w:rPr>
          <w:rFonts w:ascii="Times New Roman" w:hAnsi="Times New Roman"/>
          <w:b/>
          <w:caps/>
          <w:sz w:val="28"/>
        </w:rPr>
        <w:t xml:space="preserve">осуществления закупки у единственного </w:t>
      </w:r>
    </w:p>
    <w:p>
      <w:pPr>
        <w:pStyle w:val="Normal"/>
        <w:widowControl/>
        <w:spacing w:lineRule="auto" w:line="240" w:before="0" w:after="0"/>
        <w:ind w:hanging="57" w:left="0" w:right="0"/>
        <w:jc w:val="center"/>
        <w:rPr>
          <w:rFonts w:ascii="Times New Roman" w:hAnsi="Times New Roman"/>
          <w:b/>
          <w:caps/>
          <w:sz w:val="28"/>
        </w:rPr>
      </w:pPr>
      <w:r>
        <w:rPr>
          <w:rFonts w:ascii="Times New Roman" w:hAnsi="Times New Roman"/>
          <w:b/>
          <w:caps/>
          <w:sz w:val="28"/>
        </w:rPr>
        <w:t>поставщика (исполнителя, подрядчика)</w:t>
      </w:r>
    </w:p>
    <w:p>
      <w:pPr>
        <w:pStyle w:val="Normal"/>
        <w:widowControl/>
        <w:spacing w:lineRule="auto" w:line="240" w:before="0" w:after="0"/>
        <w:ind w:hanging="57" w:left="0" w:right="0"/>
        <w:jc w:val="center"/>
        <w:rPr>
          <w:rFonts w:ascii="Times New Roman" w:hAnsi="Times New Roman"/>
          <w:b/>
          <w:caps/>
          <w:sz w:val="28"/>
        </w:rPr>
      </w:pPr>
      <w:r>
        <w:rPr>
          <w:rFonts w:ascii="Times New Roman" w:hAnsi="Times New Roman"/>
          <w:b/>
          <w:caps/>
          <w:sz w:val="28"/>
        </w:rPr>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Свобода заказчика в формировании перечня случаев осуществления закупок у единственного поставщика не является полной и требует повышенного внимания к обоснованности каждого шага.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Положение о закупке должно содержать исчерпывающий перечень случаев, при которых заказчик вправе осуществлять закупку у единственного поставщика. При формировании такого перечня заказчику необходимо учитывать положения статьи 3.6 Закона № 223-ФЗ и принципы закупочной деятельности, установленные частью 1 статьи 3 Закона № 223-ФЗ (равноправие, справедливость, отсутствие дискриминации и необоснованных ограничений конкуренции по отношению к участникам закупки).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Включение определенного основания в положение о закупке не означает, что заказчик вправе применять его без ограничения и подтверждения соответствующих обстоятельств. Основание закупки должно позволять установить: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какие обстоятельства являются условием его применения;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какие документы подтверждают наличие этих обстоятельств;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кто принимает решение о проведении закупки;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каким образом определяется поставщик;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каким образом определяется цена договора; </w:t>
      </w:r>
    </w:p>
    <w:p>
      <w:pPr>
        <w:pStyle w:val="Normal"/>
        <w:widowControl/>
        <w:bidi w:val="0"/>
        <w:spacing w:lineRule="atLeast" w:line="200" w:before="0" w:after="0"/>
        <w:ind w:firstLine="737" w:left="0" w:right="0"/>
        <w:jc w:val="both"/>
        <w:rPr>
          <w:rFonts w:ascii="Times New Roman" w:hAnsi="Times New Roman"/>
          <w:sz w:val="28"/>
        </w:rPr>
      </w:pPr>
      <w:r>
        <w:rPr>
          <w:rFonts w:ascii="Times New Roman" w:hAnsi="Times New Roman"/>
          <w:sz w:val="28"/>
        </w:rPr>
        <w:t xml:space="preserve">имеются ли ограничения по стоимости, сроку, количеству закупок либо иные ограничения.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Такой подход подтверждается сложившейся практикой судебных органов и ФАС России.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firstLine="57" w:left="0" w:right="0"/>
        <w:jc w:val="center"/>
        <w:rPr>
          <w:b/>
        </w:rPr>
      </w:pPr>
      <w:r>
        <w:rPr>
          <w:rFonts w:ascii="Times New Roman" w:hAnsi="Times New Roman"/>
          <w:b/>
          <w:sz w:val="28"/>
        </w:rPr>
        <w:t>Позиция Верховного Суда РФ</w:t>
      </w:r>
    </w:p>
    <w:p>
      <w:pPr>
        <w:pStyle w:val="Normal"/>
        <w:widowControl/>
        <w:spacing w:lineRule="auto" w:line="240" w:before="0" w:after="0"/>
        <w:ind w:firstLine="57" w:left="0" w:right="0"/>
        <w:jc w:val="center"/>
        <w:rPr>
          <w:rFonts w:ascii="Times New Roman" w:hAnsi="Times New Roman"/>
          <w:sz w:val="28"/>
        </w:rPr>
      </w:pPr>
      <w:r>
        <w:rPr>
          <w:rFonts w:ascii="Times New Roman" w:hAnsi="Times New Roman"/>
          <w:sz w:val="28"/>
        </w:rPr>
      </w:r>
    </w:p>
    <w:p>
      <w:pPr>
        <w:pStyle w:val="Normal"/>
        <w:widowControl/>
        <w:spacing w:lineRule="auto" w:line="240" w:before="0" w:after="0"/>
        <w:ind w:firstLine="57" w:left="0" w:right="0"/>
        <w:jc w:val="both"/>
        <w:rPr/>
      </w:pPr>
      <w:r>
        <w:rPr>
          <w:rFonts w:ascii="Times New Roman" w:hAnsi="Times New Roman"/>
          <w:b/>
          <w:sz w:val="28"/>
        </w:rPr>
        <w:tab/>
      </w:r>
      <w:r>
        <w:rPr>
          <w:rFonts w:ascii="Times New Roman" w:hAnsi="Times New Roman"/>
          <w:b w:val="false"/>
          <w:sz w:val="28"/>
        </w:rPr>
        <w:t>Позиция Верховного Суда РФ сформулирована в</w:t>
      </w:r>
      <w:r>
        <w:rPr>
          <w:rFonts w:ascii="Times New Roman" w:hAnsi="Times New Roman"/>
          <w:sz w:val="28"/>
        </w:rPr>
        <w:t xml:space="preserve"> пункте 9 Обзора судебной практики по вопросам, связанным с применением Закона № 223-ФЗ, утвержденного Президиумом Верховного Суда РФ 16.05.2018 (далее – Обзор судебной практики), а именно: избрание заказчиком способа закупки, который повлек за собой необоснованное ограничение круга потенциальных участников, нарушает принципы осуществления закупочной деятельности и положения Федерального закона от 26 июля 2006 г. № 135-ФЗ «О защите конкуренции» (далее – Закон № 135-ФЗ).</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По мнению Президиума Верховного Суда РФ, для целей экономической эффективности закупка товаров, работ, услуг у единственного поставщика целесообразна в случае, если такие товары, работы, услуги обращаются на низкоконкурентных рынках, или проведение конкурсных, аукционных процедур нецелесообразно по объективным причинам (например, ликвидация последствий чрезвычайных ситуаций, последствий непреодолимой силы). Кроме того, закупка товаров, работ, услуг у единственного поставщика возможна по результатам несостоявшейся конкурентной закупочной процедуры.</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Тем самым, высший судебный орган обозначил три критерия, в соответствии с которыми определяются целесообразность и экономическая эффективность закупки у единственного поставщика (подрядчика, исполнителя):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рынок, на котором обращаются закупаемые товары, работы, услуги, является низкоконкурентным;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нецелесообразность проведения конкурсных, аукционных процедур по объективным причинам (ликвидация последствий чрезвычайных ситуаций, последствий непреодолимой силы);</w:t>
      </w:r>
    </w:p>
    <w:p>
      <w:pPr>
        <w:pStyle w:val="Normal"/>
        <w:widowControl/>
        <w:spacing w:lineRule="auto" w:line="240" w:before="0" w:after="0"/>
        <w:ind w:firstLine="709" w:left="0" w:right="0"/>
        <w:jc w:val="both"/>
        <w:rPr>
          <w:rFonts w:ascii="Times New Roman" w:hAnsi="Times New Roman"/>
          <w:sz w:val="28"/>
          <w:shd w:fill="FFE779" w:val="clear"/>
        </w:rPr>
      </w:pPr>
      <w:r>
        <w:rPr>
          <w:rFonts w:ascii="Times New Roman" w:hAnsi="Times New Roman"/>
          <w:sz w:val="28"/>
        </w:rPr>
        <w:t>заключение договора с единственным поставщиком в результате несостоявшейся конкурентной процедуры.</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hanging="0" w:left="0" w:right="0"/>
        <w:jc w:val="center"/>
        <w:rPr>
          <w:rFonts w:ascii="Times New Roman" w:hAnsi="Times New Roman"/>
          <w:b/>
          <w:sz w:val="28"/>
        </w:rPr>
      </w:pPr>
      <w:r>
        <w:rPr>
          <w:rFonts w:ascii="Times New Roman" w:hAnsi="Times New Roman"/>
          <w:b/>
          <w:sz w:val="28"/>
        </w:rPr>
        <w:t>Позиция ФАС России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firstLine="709" w:left="0" w:right="0"/>
        <w:jc w:val="both"/>
        <w:rPr>
          <w:rFonts w:ascii="Times New Roman" w:hAnsi="Times New Roman"/>
          <w:i w:val="false"/>
          <w:i w:val="false"/>
          <w:sz w:val="28"/>
        </w:rPr>
      </w:pPr>
      <w:r>
        <w:rPr>
          <w:rFonts w:ascii="Times New Roman" w:hAnsi="Times New Roman"/>
          <w:i w:val="false"/>
          <w:sz w:val="28"/>
        </w:rPr>
        <w:t>Мнение антимонопольного органа в отношении оснований для закупки у единственного поставщика идентична  позиции судебного органа и изложена в письме от 21.08.2024 № МШ/75011/24.</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Реализация права заказчика на установление случаев осуществления закупки у единственного поставщика в положении о закупке, по мнению ФАС России, должна соотноситься с принципами равноправия, справедливости, отсутствия дискриминации и необоснованных ограничений конкуренции по отношению к участникам закупки, указанными в </w:t>
      </w:r>
      <w:r>
        <w:fldChar w:fldCharType="begin"/>
      </w:r>
      <w:r>
        <w:rPr>
          <w:rStyle w:val="Style4"/>
          <w:sz w:val="28"/>
          <w:rFonts w:ascii="Times New Roman" w:hAnsi="Times New Roman"/>
        </w:rPr>
        <w:instrText xml:space="preserve"> HYPERLINK "https://internet.garant.ru/" \l "/document/12188083/entry/31"</w:instrText>
      </w:r>
      <w:r>
        <w:rPr>
          <w:rStyle w:val="Style4"/>
          <w:sz w:val="28"/>
          <w:rFonts w:ascii="Times New Roman" w:hAnsi="Times New Roman"/>
        </w:rPr>
        <w:fldChar w:fldCharType="separate"/>
      </w:r>
      <w:r>
        <w:rPr>
          <w:rStyle w:val="Style4"/>
          <w:rFonts w:ascii="Times New Roman" w:hAnsi="Times New Roman"/>
          <w:sz w:val="28"/>
        </w:rPr>
        <w:t>части 1 статьи 3</w:t>
      </w:r>
      <w:r>
        <w:rPr>
          <w:rStyle w:val="Style4"/>
          <w:sz w:val="28"/>
          <w:rFonts w:ascii="Times New Roman" w:hAnsi="Times New Roman"/>
        </w:rPr>
        <w:fldChar w:fldCharType="end"/>
      </w:r>
      <w:r>
        <w:rPr>
          <w:rFonts w:ascii="Times New Roman" w:hAnsi="Times New Roman"/>
          <w:sz w:val="28"/>
        </w:rPr>
        <w:t> Закона                     № 223-ФЗ.</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Для целей экономической эффективности закупка товаров, работ, услуг у единственного поставщика целесообразна в случае, если такие товары, работы, услуги обращаются на низкоконкурентных рынках, или проведение конкурсных, аукционных процедур нецелесообразно по объективным причинам (например, ликвидация последствий чрезвычайных ситуаций, последствий непреодолимой силы).</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По мнению антимонопольного органа, действия заказчика по включению в положение о закупках оснований для осуществления закупок у единственного поставщика при отсутствии объективных причин, препятствующих проведению конкурентных процедур, могут привести к недопущению, ограничению или устранению конкуренции на соответствующем товарном рынке, в связи с чем такие действия могут быть оценены антимонопольным органом на предмет соответствия </w:t>
      </w:r>
      <w:r>
        <w:fldChar w:fldCharType="begin"/>
      </w:r>
      <w:r>
        <w:rPr>
          <w:rStyle w:val="Style4"/>
          <w:sz w:val="28"/>
          <w:rFonts w:ascii="Times New Roman" w:hAnsi="Times New Roman"/>
        </w:rPr>
        <w:instrText xml:space="preserve"> HYPERLINK "https://internet.garant.ru/" \l "/document/12148517/entry/1701"</w:instrText>
      </w:r>
      <w:r>
        <w:rPr>
          <w:rStyle w:val="Style4"/>
          <w:sz w:val="28"/>
          <w:rFonts w:ascii="Times New Roman" w:hAnsi="Times New Roman"/>
        </w:rPr>
        <w:fldChar w:fldCharType="separate"/>
      </w:r>
      <w:r>
        <w:rPr>
          <w:rStyle w:val="Style4"/>
          <w:rFonts w:ascii="Times New Roman" w:hAnsi="Times New Roman"/>
          <w:sz w:val="28"/>
        </w:rPr>
        <w:t>части 1 статьи 17</w:t>
      </w:r>
      <w:r>
        <w:rPr>
          <w:rStyle w:val="Style4"/>
          <w:sz w:val="28"/>
          <w:rFonts w:ascii="Times New Roman" w:hAnsi="Times New Roman"/>
        </w:rPr>
        <w:fldChar w:fldCharType="end"/>
      </w:r>
      <w:r>
        <w:rPr>
          <w:rFonts w:ascii="Times New Roman" w:hAnsi="Times New Roman"/>
          <w:sz w:val="28"/>
        </w:rPr>
        <w:t> Закона № 135-ФЗ (аналогичная позиция изложена в </w:t>
      </w:r>
      <w:r>
        <w:fldChar w:fldCharType="begin"/>
      </w:r>
      <w:r>
        <w:rPr>
          <w:rStyle w:val="Style4"/>
          <w:sz w:val="28"/>
          <w:rFonts w:ascii="Times New Roman" w:hAnsi="Times New Roman"/>
        </w:rPr>
        <w:instrText xml:space="preserve"> HYPERLINK "https://internet.garant.ru/" \l "/document/407683932/entry/0"</w:instrText>
      </w:r>
      <w:r>
        <w:rPr>
          <w:rStyle w:val="Style4"/>
          <w:sz w:val="28"/>
          <w:rFonts w:ascii="Times New Roman" w:hAnsi="Times New Roman"/>
        </w:rPr>
        <w:fldChar w:fldCharType="separate"/>
      </w:r>
      <w:r>
        <w:rPr>
          <w:rStyle w:val="Style4"/>
          <w:rFonts w:ascii="Times New Roman" w:hAnsi="Times New Roman"/>
          <w:sz w:val="28"/>
        </w:rPr>
        <w:t>определении</w:t>
      </w:r>
      <w:r>
        <w:rPr>
          <w:rStyle w:val="Style4"/>
          <w:sz w:val="28"/>
          <w:rFonts w:ascii="Times New Roman" w:hAnsi="Times New Roman"/>
        </w:rPr>
        <w:fldChar w:fldCharType="end"/>
      </w:r>
      <w:r>
        <w:rPr>
          <w:rFonts w:ascii="Times New Roman" w:hAnsi="Times New Roman"/>
          <w:sz w:val="28"/>
        </w:rPr>
        <w:t> Верховного Суда РФ от 20.09.2023 по де</w:t>
      </w:r>
      <w:r>
        <w:rPr>
          <w:rFonts w:ascii="Times New Roman" w:hAnsi="Times New Roman"/>
          <w:sz w:val="28"/>
        </w:rPr>
        <w:t xml:space="preserve">лу </w:t>
      </w:r>
      <w:r>
        <w:rPr>
          <w:rFonts w:ascii="Times New Roman" w:hAnsi="Times New Roman"/>
          <w:sz w:val="28"/>
        </w:rPr>
        <w:t>№ А75</w:t>
        <w:noBreakHyphen/>
        <w:t>16759/2022, </w:t>
      </w:r>
      <w:r>
        <w:fldChar w:fldCharType="begin"/>
      </w:r>
      <w:r>
        <w:rPr>
          <w:rStyle w:val="Style4"/>
          <w:sz w:val="28"/>
          <w:rFonts w:ascii="Times New Roman" w:hAnsi="Times New Roman"/>
        </w:rPr>
        <w:instrText xml:space="preserve"> HYPERLINK "https://internet.garant.ru/" \l "/document/408055065/entry/0"</w:instrText>
      </w:r>
      <w:r>
        <w:rPr>
          <w:rStyle w:val="Style4"/>
          <w:sz w:val="28"/>
          <w:rFonts w:ascii="Times New Roman" w:hAnsi="Times New Roman"/>
        </w:rPr>
        <w:fldChar w:fldCharType="separate"/>
      </w:r>
      <w:r>
        <w:rPr>
          <w:rStyle w:val="Style4"/>
          <w:rFonts w:ascii="Times New Roman" w:hAnsi="Times New Roman"/>
          <w:sz w:val="28"/>
        </w:rPr>
        <w:t>определении</w:t>
      </w:r>
      <w:r>
        <w:rPr>
          <w:rStyle w:val="Style4"/>
          <w:sz w:val="28"/>
          <w:rFonts w:ascii="Times New Roman" w:hAnsi="Times New Roman"/>
        </w:rPr>
        <w:fldChar w:fldCharType="end"/>
      </w:r>
      <w:r>
        <w:rPr>
          <w:rFonts w:ascii="Times New Roman" w:hAnsi="Times New Roman"/>
          <w:sz w:val="28"/>
        </w:rPr>
        <w:t> Верховного Суда РФ от 20.11.2023 по дел</w:t>
      </w:r>
      <w:r>
        <w:rPr>
          <w:rFonts w:ascii="Times New Roman" w:hAnsi="Times New Roman"/>
          <w:sz w:val="28"/>
        </w:rPr>
        <w:t xml:space="preserve">у </w:t>
      </w:r>
      <w:r>
        <w:rPr>
          <w:rFonts w:ascii="Times New Roman" w:hAnsi="Times New Roman"/>
          <w:sz w:val="28"/>
        </w:rPr>
        <w:t>№ А75</w:t>
        <w:noBreakHyphen/>
        <w:t xml:space="preserve">19756/2022 и др.). Кроме того, в случае признания в действиях заказчика, установившего случаи осуществления закупок у единственного поставщика, нарушений, которые приводят к ограничению, устранению конкуренции, антимонопольный орган вправе выдать предписание о совершении действий, направленных на обеспечение конкуренции,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 путем внесения изменений в положение о закупке заказчика (в части корректировки перечня случаев осуществления закупки у единственного поставщика).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В то же время ФАС России обращает внимание, что действия хозяйствующих субъектов по заключению договора с единственным поставщиком по основаниям, установленным в действующем положении о закупке, не могут быть рассмотрены на предмет нарушения </w:t>
      </w:r>
      <w:r>
        <w:fldChar w:fldCharType="begin"/>
      </w:r>
      <w:r>
        <w:rPr>
          <w:rStyle w:val="Style4"/>
          <w:sz w:val="28"/>
          <w:rFonts w:ascii="Times New Roman" w:hAnsi="Times New Roman"/>
        </w:rPr>
        <w:instrText xml:space="preserve"> HYPERLINK "https://internet.garant.ru/" \l "/document/12148517/entry/17"</w:instrText>
      </w:r>
      <w:r>
        <w:rPr>
          <w:rStyle w:val="Style4"/>
          <w:sz w:val="28"/>
          <w:rFonts w:ascii="Times New Roman" w:hAnsi="Times New Roman"/>
        </w:rPr>
        <w:fldChar w:fldCharType="separate"/>
      </w:r>
      <w:r>
        <w:rPr>
          <w:rStyle w:val="Style4"/>
          <w:rFonts w:ascii="Times New Roman" w:hAnsi="Times New Roman"/>
          <w:sz w:val="28"/>
        </w:rPr>
        <w:t>статьи 17</w:t>
      </w:r>
      <w:r>
        <w:rPr>
          <w:rStyle w:val="Style4"/>
          <w:sz w:val="28"/>
          <w:rFonts w:ascii="Times New Roman" w:hAnsi="Times New Roman"/>
        </w:rPr>
        <w:fldChar w:fldCharType="end"/>
      </w:r>
      <w:r>
        <w:rPr>
          <w:rFonts w:ascii="Times New Roman" w:hAnsi="Times New Roman"/>
          <w:sz w:val="28"/>
        </w:rPr>
        <w:t>  Закона № 135. Аналогичная позиция изложена в </w:t>
      </w:r>
      <w:r>
        <w:fldChar w:fldCharType="begin"/>
      </w:r>
      <w:r>
        <w:rPr>
          <w:rStyle w:val="Style4"/>
          <w:sz w:val="28"/>
          <w:rFonts w:ascii="Times New Roman" w:hAnsi="Times New Roman"/>
        </w:rPr>
        <w:instrText xml:space="preserve"> HYPERLINK "https://internet.garant.ru/" \l "/document/400418822/entry/10133"</w:instrText>
      </w:r>
      <w:r>
        <w:rPr>
          <w:rStyle w:val="Style4"/>
          <w:sz w:val="28"/>
          <w:rFonts w:ascii="Times New Roman" w:hAnsi="Times New Roman"/>
        </w:rPr>
        <w:fldChar w:fldCharType="separate"/>
      </w:r>
      <w:r>
        <w:rPr>
          <w:rStyle w:val="Style4"/>
          <w:rFonts w:ascii="Times New Roman" w:hAnsi="Times New Roman"/>
          <w:sz w:val="28"/>
        </w:rPr>
        <w:t>абзаце 3 пункта 37</w:t>
      </w:r>
      <w:r>
        <w:rPr>
          <w:rStyle w:val="Style4"/>
          <w:sz w:val="28"/>
          <w:rFonts w:ascii="Times New Roman" w:hAnsi="Times New Roman"/>
        </w:rPr>
        <w:fldChar w:fldCharType="end"/>
      </w:r>
      <w:r>
        <w:rPr>
          <w:rFonts w:ascii="Times New Roman" w:hAnsi="Times New Roman"/>
          <w:sz w:val="28"/>
        </w:rPr>
        <w:t xml:space="preserve"> постановления Пленума Верховного Суда РФ от 04.03.2021 №  2 «О некоторых вопросах, возникающих в связи с применением судами антимонопольного законодательства».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Также статьей 39.1 Закона № 135-ФЗ в случае выявления признаков нарушения части 1 статьи 15 указанного федерального закона антимонопольный орган вправе выдать субъекту, в действиях которого выявлены признаки нарушения данной статьи, предупреждение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Например, в предупреждениях 21.01.2025 г. № ВК/243/25 и от 13.11.2024 № ВК/6435/24 Чувашское УФАС предостерегает заказчиков  о необходимости прекращения в установленный срок  действий, выразившихся в принятии и утверждении положения о закупке, в которое включены случаи закупок у единственного поставщика на конкурентных рынках, путем принятия мер, направленных на исключение из положения о закупке оснований закупки у единственного поставщика на конкурентных товарных рынках, которые могут привести к ограничению конкуренции.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hanging="0" w:left="0" w:right="0"/>
        <w:jc w:val="center"/>
        <w:rPr>
          <w:b/>
        </w:rPr>
      </w:pPr>
      <w:r>
        <w:rPr>
          <w:rFonts w:ascii="Times New Roman" w:hAnsi="Times New Roman"/>
          <w:b/>
          <w:sz w:val="28"/>
        </w:rPr>
        <w:t>Позиция Минфина России</w:t>
      </w:r>
    </w:p>
    <w:p>
      <w:pPr>
        <w:pStyle w:val="Normal"/>
        <w:widowControl/>
        <w:spacing w:lineRule="auto" w:line="240" w:before="0" w:after="0"/>
        <w:ind w:hanging="0" w:left="0" w:right="0"/>
        <w:jc w:val="center"/>
        <w:rPr>
          <w:rFonts w:ascii="Times New Roman" w:hAnsi="Times New Roman"/>
          <w:sz w:val="28"/>
        </w:rPr>
      </w:pPr>
      <w:r>
        <w:rPr>
          <w:rFonts w:ascii="Times New Roman" w:hAnsi="Times New Roman"/>
          <w:sz w:val="28"/>
        </w:rPr>
      </w:r>
    </w:p>
    <w:p>
      <w:pPr>
        <w:pStyle w:val="Normal"/>
        <w:widowControl/>
        <w:spacing w:lineRule="auto" w:line="240"/>
        <w:jc w:val="both"/>
        <w:rPr>
          <w:rFonts w:ascii="Times New Roman" w:hAnsi="Times New Roman"/>
          <w:sz w:val="28"/>
        </w:rPr>
      </w:pPr>
      <w:r>
        <w:rPr>
          <w:rFonts w:ascii="Times New Roman" w:hAnsi="Times New Roman"/>
          <w:b w:val="false"/>
          <w:sz w:val="28"/>
        </w:rPr>
        <w:tab/>
        <w:t>Согласно п</w:t>
      </w:r>
      <w:r>
        <w:rPr>
          <w:rFonts w:ascii="Times New Roman" w:hAnsi="Times New Roman"/>
          <w:b w:val="false"/>
          <w:i w:val="false"/>
          <w:caps w:val="false"/>
          <w:smallCaps w:val="false"/>
          <w:strike w:val="false"/>
          <w:dstrike w:val="false"/>
          <w:shadow w:val="false"/>
          <w:color w:val="000000"/>
          <w:spacing w:val="0"/>
          <w:sz w:val="28"/>
          <w:u w:val="none"/>
        </w:rPr>
        <w:t>озиции регулятора, изложенной в письме от 19 апреля 2019 г. № 24-04-07/28730, заказчик самостоятельно определяет способы закупки (помимо конкурса и аукциона), в том числе заключение договора с единственным поставщиком, в положении о закупке, установив при этом порядок такой закупки.</w:t>
      </w:r>
    </w:p>
    <w:p>
      <w:pPr>
        <w:pStyle w:val="Normal"/>
        <w:widowControl/>
        <w:spacing w:lineRule="auto" w:line="240"/>
        <w:jc w:val="both"/>
        <w:rPr>
          <w:rFonts w:ascii="Times New Roman" w:hAnsi="Times New Roman"/>
          <w:sz w:val="28"/>
        </w:rPr>
      </w:pPr>
      <w:bookmarkStart w:id="0" w:name="p_26"/>
      <w:bookmarkEnd w:id="0"/>
      <w:r>
        <w:rPr>
          <w:rFonts w:ascii="Times New Roman" w:hAnsi="Times New Roman"/>
          <w:sz w:val="28"/>
        </w:rPr>
        <w:tab/>
        <w:t>Вместе с тем в соответствии с частью 1 статьи 3 Закона № 223-ФЗ при закупке товаров, работ, услуг заказчики руководствуются принципами информационной открытости закупки, равноправия, справедливости, отсутствия дискриминации и необоснованных ограничений конкуренции по отношению к участникам закупки, целевого и экономического эффективного расходования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 отсутствия ограничения допуска к участию в закупке путем установления неизмеряемых требований к участникам закупки.</w:t>
      </w:r>
    </w:p>
    <w:p>
      <w:pPr>
        <w:pStyle w:val="Normal"/>
        <w:widowControl/>
        <w:spacing w:lineRule="auto" w:line="240"/>
        <w:jc w:val="both"/>
        <w:rPr>
          <w:rFonts w:ascii="Times New Roman" w:hAnsi="Times New Roman"/>
          <w:sz w:val="28"/>
        </w:rPr>
      </w:pPr>
      <w:bookmarkStart w:id="1" w:name="p_27"/>
      <w:bookmarkEnd w:id="1"/>
      <w:r>
        <w:rPr>
          <w:rFonts w:ascii="Times New Roman" w:hAnsi="Times New Roman"/>
          <w:sz w:val="28"/>
        </w:rPr>
        <w:tab/>
        <w:t>Кроме того, согласно пункту 1 части 1 статьи 1 Закона № 223-ФЗ одной из целей регулирования указанного закона является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pPr>
        <w:pStyle w:val="Normal"/>
        <w:widowControl/>
        <w:spacing w:lineRule="auto" w:line="240"/>
        <w:jc w:val="both"/>
        <w:rPr>
          <w:rFonts w:ascii="Times New Roman" w:hAnsi="Times New Roman"/>
          <w:sz w:val="28"/>
        </w:rPr>
      </w:pPr>
      <w:bookmarkStart w:id="2" w:name="p_28"/>
      <w:bookmarkEnd w:id="2"/>
      <w:r>
        <w:rPr>
          <w:rFonts w:ascii="Times New Roman" w:hAnsi="Times New Roman"/>
          <w:sz w:val="28"/>
        </w:rPr>
        <w:tab/>
        <w:t>Исходя из системного толкования указанных норм в случае, если большая часть закупочной деятельности заказчика осуществляется путем закупки товаров, работ, услуг у единственного поставщика, указанная выше цель Закона № 223-ФЗ не выполняется, поскольку закупка путем проведения конкурентных процедур позволяет значительно расширить круг лиц, участвующих в закупках заказчика.</w:t>
      </w:r>
    </w:p>
    <w:p>
      <w:pPr>
        <w:pStyle w:val="Normal"/>
        <w:widowControl/>
        <w:spacing w:lineRule="auto" w:line="240" w:before="0" w:after="0"/>
        <w:ind w:hanging="0" w:left="0" w:right="0"/>
        <w:jc w:val="both"/>
        <w:rPr>
          <w:rFonts w:ascii="Times New Roman" w:hAnsi="Times New Roman"/>
          <w:b w:val="false"/>
          <w:i w:val="false"/>
          <w:i w:val="false"/>
          <w:caps w:val="false"/>
          <w:smallCaps w:val="false"/>
          <w:strike w:val="false"/>
          <w:dstrike w:val="false"/>
          <w:shadow w:val="false"/>
          <w:color w:val="000000"/>
          <w:spacing w:val="0"/>
          <w:sz w:val="28"/>
          <w:u w:val="none"/>
        </w:rPr>
      </w:pPr>
      <w:r>
        <w:rPr>
          <w:rFonts w:ascii="Times New Roman" w:hAnsi="Times New Roman"/>
          <w:b w:val="false"/>
          <w:i w:val="false"/>
          <w:caps w:val="false"/>
          <w:smallCaps w:val="false"/>
          <w:strike w:val="false"/>
          <w:dstrike w:val="false"/>
          <w:shadow w:val="false"/>
          <w:color w:val="000000"/>
          <w:spacing w:val="0"/>
          <w:sz w:val="28"/>
          <w:u w:val="none"/>
        </w:rPr>
      </w:r>
    </w:p>
    <w:p>
      <w:pPr>
        <w:pStyle w:val="Normal"/>
        <w:widowControl/>
        <w:spacing w:lineRule="auto" w:line="240" w:before="0" w:after="0"/>
        <w:ind w:hanging="0" w:left="0" w:right="0"/>
        <w:jc w:val="center"/>
        <w:rPr>
          <w:rFonts w:ascii="Times New Roman" w:hAnsi="Times New Roman"/>
          <w:b/>
          <w:sz w:val="28"/>
        </w:rPr>
      </w:pPr>
      <w:r>
        <w:rPr>
          <w:rFonts w:ascii="Times New Roman" w:hAnsi="Times New Roman"/>
          <w:b/>
          <w:sz w:val="28"/>
        </w:rPr>
        <w:t>Судебная и административная практика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Обозначенные выше позиции органов власти нашли отражение в решениях по конкретным делам.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Например, антимонопольный и судебные органы считают заказчиков необоснованно ограничивающими конкуренцию при осуществлении закупок у единственного поставщика по следующим предметам закупки: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а) закупка услуг по организации питания в образовательных учреждениях (определение Верховного Суда РФ от 16 сентября 2021 г. № 306-ЭС21-11589 по делу № А57-6792/2020);</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б) закупка продуктов питания для обеспечения бортовым питанием (определение Верховного Суда РФ от 14 мая 2021 г. № 302-ЭС21-5479 по делу № А19-8951/2020);</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в) постановление Арбитражного суда Дальневосточного округа от 20 августа 2021 г. № Ф03-3558/2021 по делу № А04-7496/2020:</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 xml:space="preserve">закупка товаров, работ, услуг для технического содержания, охраны, эксплуатации и обслуживания муниципального имущества, переданного заказчику; </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заключение договоров аренды транспортных средств;</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иные случаи, по обоснованному решению заказчика, оформленному в виде решения комиссии заказчика;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г) работы по капитальному и текущему ремонту (решение Татарстанского УФАС России от 27.11.2023 по делу № 016/01/7-831/2023);</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д) постановление Арбитражного суда Западно-Сибирского округа от 16 января 2025 г. № Ф04-5873/2024 по делу № А75-16417/2022:</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наличие иных обстоятельств, требующих закупки именно у единственного поставщика по решению Единоличного исполнительного органа общества или по решению коллегиальных органов управления согласно уставу общества,</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закупка услуг, связанных с подбором персонала,</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закупка продукции, необходимой для проведения корпоративных мероприятий, в том числе посвященных празднованию профессиональных дней,</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оказание услуг по медицинскому осмотру сотрудников заказчика;</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е) определение Верховного Суда РФ от 20 сентября 2023 г. № 304-ЭС23-16836 по делу № А75-16759/2022:</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закупка услуг по обучению или проведению тематических семинаров (совещаний, тренингов, форумов, выставок, конференций),</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возникла потребность в заключении договора на сопровождение, техническую поддержку (в том числе на доработку, модернизацию, актуализацию) программного обеспечения, специальных и/или прикладных программных продуктов по бухгалтерскому учету, электронному документообороту и других (автоматизированных) информационных систем, систем автоматического проектирования, программно-аппаратных комплексов, систем автоматизации, используемых заказчиком,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заключается договор с редакцией (издателем, вещателем) федерального или регионального средства массовой информации, на размещение информационных материалов, подлежащих публикации в соответствии с требованиями нормативных правовых актов Российской Федерации, субъектов Российской Федерации и органов местного самоуправления в федеральных или региональных средствах массовой информации,</w:t>
      </w:r>
    </w:p>
    <w:p>
      <w:pPr>
        <w:pStyle w:val="Normal"/>
        <w:widowControl/>
        <w:spacing w:lineRule="auto" w:line="240" w:before="0" w:after="0"/>
        <w:ind w:firstLine="709" w:left="0" w:right="0"/>
        <w:jc w:val="both"/>
        <w:rPr/>
      </w:pPr>
      <w:r>
        <w:rPr>
          <w:rFonts w:ascii="Times New Roman" w:hAnsi="Times New Roman"/>
          <w:sz w:val="28"/>
        </w:rPr>
        <w:t>заключается договор на оказание услуг по подтверждению соответствия критериям аккредитации поверочной, испытательной лаборатории с экспертной организацией, являющейся основным местом работы эксперта по аккредитации, прошедшего отбор для целей оказания заказчику услуг, необходимых и обязательных для предоставления государственных услуг в соответствии с Федеральным законом от 28.12.2013 № 412-ФЗ «Об аккредитации в национальной системе аккредитации» либо экспертной организацией, с которой такой эксперт для целей оказания услуг заказчику осуществляет взаимодействие согласно указанному федеральному закону,</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в соответствии с Правилами подключения (технологического присоединения) к системам теплоснабжения, утвержденными постановлением Правительства РФ от 30.11.2021 № 2115, по обращению заявителя к исполнителю необходимо заключить договор гражданско-правового характера (договор подряда), предусматривающий выполнение работ по архитектурно-строительному проектированию и/или строительству и/или реконструкции тепловых сетей и передаче объекта(ов) теплоснабжения;</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ж) решение Арбитражного суда г.Санкт-Петербурга и Ленинградской области от 31 октября 2025 г. по делу № А56-38093/2025:</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закупка транспортно-экспедиционные услуги, услуги по перевозке, доставке грузов любыми видами транспорта,</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закупка на оказание услуг по охране объектов заказчика,</w:t>
      </w:r>
    </w:p>
    <w:p>
      <w:pPr>
        <w:pStyle w:val="Normal"/>
        <w:widowControl/>
        <w:tabs>
          <w:tab w:val="clear" w:pos="708"/>
          <w:tab w:val="left" w:pos="0" w:leader="none"/>
        </w:tabs>
        <w:spacing w:lineRule="atLeast" w:line="200"/>
        <w:ind w:firstLine="709" w:left="0" w:right="0"/>
        <w:jc w:val="both"/>
        <w:rPr>
          <w:rFonts w:ascii="Times New Roman" w:hAnsi="Times New Roman"/>
          <w:sz w:val="28"/>
        </w:rPr>
      </w:pPr>
      <w:r>
        <w:rPr>
          <w:rFonts w:ascii="Times New Roman" w:hAnsi="Times New Roman"/>
          <w:sz w:val="28"/>
        </w:rPr>
        <w:t>закупка на оказание услуг по проведению предварительных, периодических и обязательных медицинских осмотров сотрудников заказчика, на медицинские услуги застрахованным лицам и медицинское обслуживание сотрудников заказчика;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з) заключается договор на закупку продукции, приобретаемой в связи с выполнением решений/поручений органов управления заказчика (решение Красноярского УФАС от 03.02.2025 г. № 024/01/17-2882/2024);</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и) постановление Арбитражного суда Западно-Сибирского округа от 04.07.2025 № Ф04-2006/2025 по делу № А70-16529/2024:</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при поставке нефтепродуктов (дизельного топлива, бензина, битума) для собственных и/или технологических нужд заказчика;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при закупке услуг гарантийного, постгарантийного и текущего обслуживания машин и оборудования, автотранспортных средств заказчика для обеспечения бесперебойной административно-хозяйственной деятельности, а также исполнения договорных (контрактных) обязательств заказчика, в том числе с учетом приобретаемых материалов, запасных частей, используемых при оказании данных услуг;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при приобретении или аренде объектов движимого имущества;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к) постановление Арбитражн</w:t>
      </w:r>
      <w:r>
        <w:rPr>
          <w:rFonts w:ascii="Times New Roman" w:hAnsi="Times New Roman"/>
          <w:color w:val="000000"/>
          <w:sz w:val="28"/>
          <w:u w:val="none"/>
        </w:rPr>
        <w:t>ого суда Дальневосточного округа от 14.08.2026 № Ф03-1970/2026 по делу № А73-12575/2025:</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при проведении закупки товаров, работ, услуг в рамках технического и санитарного содержания помещений и прилегающей территории объектов заказчика, в том числе проведение ремонта элементов благоустройства территории, текущего ремонта помещений, клининговых услуг, очистки кровли от снега и сосулек, других работ и услуг, а также приобретения материалов для проведения данных работ своими силами;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при заключении договора на оказание услуг по мойке автотранспортных средств и спецтехники;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заключение договора на оказание услуг по уборке снега на прилегающей к объектам учреждения территории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при проведении закупки ТРУ с целью создания доступной среды для нужд маломобильных групп населения в рамках реализации мероприятий государственной программы Российской Федерации «Доступная среда» на объектах учреждения.</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По мнению судебных и антимонопольного органов, отдавая в отдельных случаях предпочтение такому способу как осуществление закупки у единственного поставщика, заказчик должен иметь разумные и объективные причины, объясняющие, что применение конкурентных процедур либо является неэффективным (например, если товарный рынок ограничен или цены на объект закупки колеблются в узком диапазоне), либо в значительной степени лишают заказчика того результата, которого он намеревался достичь, планируя закупку (осуществление срочного размещения заказа, закупка на товарном рынке, где преобладает недобросовестная конкуренция). В ином случае выбор данного неконкурентного способа закупки представляет собой злоупотребление правом, намеренное уклонение от конкурентных процедур вопреки принципам осуществления закупок, а также целям правового регулирования в данной сфере. Необеспечение конкурентных процедур приводит к ограничению доступа всех возможных лиц, претендующих на заключение договора.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Наличие в положении о закупке норм, позволяющих осуществлять закупку у единственного поставщика во всех случаях и при любых потребностях без проведения конкурентных процедур, независимо от наличия конкурентного рынка, в отсутствие обоснования и срочной потребности, создают возможность привлечения исполнителя без проведения торгов, что приводит к дискриминации, отсутствию равноправия, справедливости, необоснованному ограничению конкуренции по отношению к участникам закупки, а также экономически неэффективному расходованию денежных средств на приобретение товаров, работ, услуг.</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Заказчику следует обосновывать:</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 xml:space="preserve">необходимость заключения договора с единственным поставщиком, </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цену договора;</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выбор поставщика, с которым заключается такой договор.</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Данная позиция отражена, например, в:</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 xml:space="preserve">определении Верховного Суда РФ от 16.09.2021 № 306-ЭС21-13429 по делу № А57-6544/2020, </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 xml:space="preserve">определении Верховного Суда РФ от 16.09.2021 № 306-ЭС21-13581 по делу № А57-6788/2020, </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определении Судебной коллегии по экономическим спорам Верховного Суда РФ от 16 сентября 2021 г. № 306-ЭС21-11589 по делу № А57-6792/2020,</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постановлении Арбитражного суда Уральского округа от 20.12.2022 по делу № А07-34954/2021,</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определении Верховного Суда Российской Федерации от 20.11.2023 по делу № А75-19756/2022</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 xml:space="preserve">определении Верховного Суда РФ от 20 сентября 2023 г. № 304-ЭС23-16836 по делу № А75-16759/2022, </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постановлении Арбитражного суда Поволжского округа от 25.04.2023 по делу № А65-13899/2022,</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 xml:space="preserve">определении Верховного Суда РФ от 24.06.2024 № 306-ЭС24-10880 по делу № А75-9485/2023, </w:t>
      </w:r>
    </w:p>
    <w:p>
      <w:pPr>
        <w:pStyle w:val="Normal"/>
        <w:widowControl/>
        <w:spacing w:lineRule="auto" w:line="240"/>
        <w:ind w:firstLine="709" w:left="0" w:right="0"/>
        <w:jc w:val="both"/>
        <w:rPr/>
      </w:pPr>
      <w:r>
        <w:rPr>
          <w:rFonts w:ascii="Times New Roman" w:hAnsi="Times New Roman"/>
          <w:b w:val="false"/>
          <w:sz w:val="28"/>
        </w:rPr>
        <w:t>определении Верховного Суда РФ от 21.10.2025 № 304-ЭС25-10281 по делу №</w:t>
      </w:r>
      <w:r>
        <w:rPr>
          <w:rFonts w:ascii="Times New Roman" w:hAnsi="Times New Roman"/>
          <w:sz w:val="28"/>
        </w:rPr>
        <w:t xml:space="preserve"> А75-12205/2024),</w:t>
      </w:r>
    </w:p>
    <w:p>
      <w:pPr>
        <w:pStyle w:val="Normal"/>
        <w:widowControl/>
        <w:spacing w:lineRule="auto" w:line="240"/>
        <w:ind w:firstLine="709" w:left="0" w:right="0"/>
        <w:jc w:val="both"/>
        <w:rPr>
          <w:rFonts w:ascii="Times New Roman" w:hAnsi="Times New Roman"/>
          <w:color w:val="000000"/>
          <w:sz w:val="28"/>
        </w:rPr>
      </w:pPr>
      <w:r>
        <w:rPr>
          <w:rFonts w:ascii="Times New Roman" w:hAnsi="Times New Roman"/>
          <w:color w:val="000000"/>
          <w:sz w:val="28"/>
        </w:rPr>
        <w:t>решении Краснодарского УФАС от 01.07.2024 г. № 023/01/17-5845/2023,</w:t>
      </w:r>
    </w:p>
    <w:p>
      <w:pPr>
        <w:pStyle w:val="Normal"/>
        <w:widowControl/>
        <w:spacing w:lineRule="auto" w:line="240"/>
        <w:ind w:firstLine="709" w:left="0" w:right="0"/>
        <w:jc w:val="both"/>
        <w:rPr>
          <w:rFonts w:ascii="Times New Roman" w:hAnsi="Times New Roman"/>
          <w:sz w:val="28"/>
        </w:rPr>
      </w:pPr>
      <w:r>
        <w:rPr>
          <w:rFonts w:ascii="Times New Roman" w:hAnsi="Times New Roman"/>
          <w:color w:val="000000"/>
          <w:sz w:val="28"/>
        </w:rPr>
        <w:t>решении Пензенского УФ</w:t>
      </w:r>
      <w:r>
        <w:rPr>
          <w:rFonts w:ascii="Times New Roman" w:hAnsi="Times New Roman"/>
          <w:b w:val="false"/>
          <w:color w:val="000000"/>
          <w:sz w:val="28"/>
        </w:rPr>
        <w:t>АС от 06.12.2024 г. № 058/01/17-614/2024,</w:t>
      </w:r>
    </w:p>
    <w:p>
      <w:pPr>
        <w:pStyle w:val="Normal"/>
        <w:widowControl/>
        <w:spacing w:lineRule="auto" w:line="240"/>
        <w:ind w:firstLine="709" w:left="0" w:right="0"/>
        <w:jc w:val="both"/>
        <w:rPr>
          <w:rFonts w:ascii="Times New Roman" w:hAnsi="Times New Roman"/>
          <w:b w:val="false"/>
          <w:color w:val="000000"/>
          <w:sz w:val="28"/>
        </w:rPr>
      </w:pPr>
      <w:r>
        <w:rPr>
          <w:rFonts w:ascii="Times New Roman" w:hAnsi="Times New Roman"/>
          <w:b w:val="false"/>
          <w:color w:val="000000"/>
          <w:sz w:val="28"/>
        </w:rPr>
        <w:t>решении Северо-Осетинское УФАС от 22.11.2024 г. по делу № 015/01/17-579/2024,</w:t>
      </w:r>
    </w:p>
    <w:p>
      <w:pPr>
        <w:pStyle w:val="Normal"/>
        <w:widowControl/>
        <w:spacing w:lineRule="auto" w:line="240"/>
        <w:ind w:firstLine="709" w:left="0" w:right="0"/>
        <w:jc w:val="both"/>
        <w:rPr>
          <w:rFonts w:ascii="Times New Roman" w:hAnsi="Times New Roman"/>
          <w:b w:val="false"/>
          <w:color w:val="000000"/>
          <w:sz w:val="28"/>
        </w:rPr>
      </w:pPr>
      <w:r>
        <w:rPr>
          <w:rFonts w:ascii="Times New Roman" w:hAnsi="Times New Roman"/>
          <w:b w:val="false"/>
          <w:color w:val="000000"/>
          <w:sz w:val="28"/>
        </w:rPr>
        <w:t>определении Крымского УФАС от 27.01.2025 № 082/01/17-100/2025,</w:t>
      </w:r>
    </w:p>
    <w:p>
      <w:pPr>
        <w:pStyle w:val="Normal"/>
        <w:widowControl/>
        <w:spacing w:lineRule="auto" w:line="240"/>
        <w:ind w:firstLine="709" w:left="0" w:right="0"/>
        <w:jc w:val="both"/>
        <w:rPr>
          <w:rFonts w:ascii="Times New Roman" w:hAnsi="Times New Roman"/>
          <w:b w:val="false"/>
          <w:color w:val="000000"/>
          <w:sz w:val="28"/>
        </w:rPr>
      </w:pPr>
      <w:r>
        <w:rPr>
          <w:rFonts w:ascii="Times New Roman" w:hAnsi="Times New Roman"/>
          <w:b w:val="false"/>
          <w:color w:val="000000"/>
          <w:sz w:val="28"/>
        </w:rPr>
        <w:t>решении Татарстанского УФАС от 13.02.2025 № АР-05/1353,</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color w:val="000000"/>
          <w:sz w:val="28"/>
        </w:rPr>
        <w:t>решении Чукотского УФА</w:t>
      </w:r>
      <w:r>
        <w:rPr>
          <w:rFonts w:ascii="Times New Roman" w:hAnsi="Times New Roman"/>
          <w:sz w:val="28"/>
        </w:rPr>
        <w:t>С от 15.05.2026 по делу № 087/01/17-34/2026.</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Доводы с</w:t>
      </w:r>
      <w:r>
        <w:rPr>
          <w:rFonts w:ascii="Times New Roman" w:hAnsi="Times New Roman"/>
          <w:sz w:val="28"/>
        </w:rPr>
        <w:t>удов, как правило, основываются на отсутствии со стороны заказчиков  мотивированного обоснования необходимости включения в положение о закупке случаев осуществления закупок у единственного поставщика.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Доводы заказчиков о том, чт</w:t>
      </w:r>
      <w:r>
        <w:rPr>
          <w:rFonts w:ascii="Times New Roman" w:hAnsi="Times New Roman"/>
          <w:color w:val="000000"/>
          <w:sz w:val="28"/>
          <w:u w:val="none"/>
        </w:rPr>
        <w:t xml:space="preserve">о Закон № 223-ФЗ </w:t>
      </w:r>
      <w:r>
        <w:rPr>
          <w:rFonts w:ascii="Times New Roman" w:hAnsi="Times New Roman"/>
          <w:sz w:val="28"/>
        </w:rPr>
        <w:t>не ограничивает право заказчика осуществлять закупки у единственного поставщика, не прин</w:t>
      </w:r>
      <w:r>
        <w:rPr>
          <w:rFonts w:ascii="Times New Roman" w:hAnsi="Times New Roman"/>
          <w:color w:val="000000"/>
          <w:sz w:val="28"/>
          <w:u w:val="none"/>
        </w:rPr>
        <w:t>имаются судами и антимонопольным органом во внимание, на основании того, что Закон № 223-ФЗ не наделяет заказчика правом проводить неконкурентные закупки по своему усмотрению, в положении о закупке должны быть ограничения для применения неконкурентного способа закупки (критерии и случаи, в которых он может осуществлять такую закупку), обратное влечет необоснованное о</w:t>
      </w:r>
      <w:r>
        <w:rPr>
          <w:rFonts w:ascii="Times New Roman" w:hAnsi="Times New Roman"/>
          <w:sz w:val="28"/>
        </w:rPr>
        <w:t>граничение круга потенциальных участников, нарушает принципы осуществления закупочной деятельности (часть 1 статьи 3 Закона                          № 223-ФЗ, часть 1 статьи 17 Закона № 135-ФЗ).</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Суды отмечают, что доводы заказчиков об отсутствии со стороны антимонопольного органа, прокуроров доказательств, свидетельствующих о высоком либо низком уровне конкуренции и, соответственно, об ограничении или недопуске кого-либо из потенциальных участников закупок к спорной закупке не могут быть приняты во внимание, поскольку для установления в действиях лица нарушения статьи 17 Закона № 135-ФЗ достаточно установить возможность такого ограничения, сам факт наличия ограничивающих пунктов в положении о закупке (постановление Арбитражного суда Дальневосточного округа от 20.08.2021 № Ф03-3558/2021 по делу № А04-7496/2020, постановление Арбитражного суда Западно-Сибирского округа от 04.07.2025 № Ф04-2006/2025 по делу № А70-16529/2024, постановление Арбитражного суда Дальневосточного округа от 14.08.2026 № Ф03-1970/2026 по делу № А73-12575/2025, определение Верховного Суда РФ от 17.09.2025 № 302-ЭС25-9990 по делу № А19-11549/2024 и др.). </w:t>
      </w:r>
    </w:p>
    <w:p>
      <w:pPr>
        <w:pStyle w:val="Normal"/>
        <w:widowControl/>
        <w:spacing w:lineRule="auto" w:line="240" w:before="0" w:after="0"/>
        <w:ind w:firstLine="709" w:left="0" w:right="0"/>
        <w:jc w:val="both"/>
        <w:rPr>
          <w:rFonts w:ascii="Times New Roman" w:hAnsi="Times New Roman"/>
          <w:color w:val="000000"/>
          <w:sz w:val="28"/>
          <w:u w:val="none"/>
        </w:rPr>
      </w:pPr>
      <w:r>
        <w:rPr>
          <w:rFonts w:ascii="Times New Roman" w:hAnsi="Times New Roman"/>
          <w:sz w:val="28"/>
        </w:rPr>
        <w:t xml:space="preserve">Принимая во внимание позицию антимонопольного и судебных органов, при разработке типового положения о закупке, положения о закупке </w:t>
      </w:r>
      <w:r>
        <w:rPr>
          <w:rFonts w:ascii="Times New Roman" w:hAnsi="Times New Roman"/>
          <w:color w:val="000000"/>
          <w:sz w:val="28"/>
          <w:u w:val="none"/>
        </w:rPr>
        <w:t>необходимо руководствоваться следующим: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color w:val="000000"/>
          <w:sz w:val="28"/>
          <w:u w:val="none"/>
        </w:rPr>
        <w:t>перечень случаев осуществления закупки у единственного поставщика должен быть конкретным, исчерпывающим и обоснованным;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положение о закупке должно определять не только случаи закупки у единственного поставщика, но и условия, объективные основания, при которых такая закупка может проводиться;</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недопустимо устанавливать основания, позволяющие заказчику проводить неконкурентные закупки во всех случаях и при любых потребностях.  В том числе, нельзя использовать формулировки «в иных случаях», «по решению руководителя» и т. п.</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b w:val="false"/>
          <w:i w:val="false"/>
          <w:caps w:val="false"/>
          <w:smallCaps w:val="false"/>
          <w:strike w:val="false"/>
          <w:dstrike w:val="false"/>
          <w:shadow w:val="false"/>
          <w:color w:val="000000"/>
          <w:spacing w:val="0"/>
          <w:sz w:val="28"/>
          <w:u w:val="none"/>
        </w:rPr>
        <w:t>При принятии решения об осуществлении закупки у единственного поставщика заказчик должен обосновать, что он может осуществить закупку только указанным способом. В частности, одним из таких оснований является ситуация, когда выдвигаемые требования к предмету закупки могут быть исполнены исключительно конкретным поставщиком (исполнителем, подрядчиком) и никаким иным.</w:t>
      </w:r>
      <w:r>
        <w:rPr>
          <w:rFonts w:ascii="Times New Roman" w:hAnsi="Times New Roman"/>
          <w:b w:val="false"/>
          <w:i w:val="false"/>
          <w:caps w:val="false"/>
          <w:smallCaps w:val="false"/>
          <w:strike w:val="false"/>
          <w:dstrike w:val="false"/>
          <w:shadow w:val="false"/>
          <w:color w:val="000000"/>
          <w:spacing w:val="0"/>
          <w:sz w:val="28"/>
          <w:u w:val="none"/>
        </w:rPr>
        <w:t xml:space="preserve"> Наличие иных хозяйствующих субъектов, реализующих закупаемый товар, оказывающих закупаемые услуги, свидетельствует об ограничении круга потенциальных участников и возможном нарушении принципов осуществления закупочной деятельности и запретов установленных антимонопольным законодательством.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Другим основанием может являться возникновение срочной потребности в товарах, работах, услугах по причине произошедшей аварии, обстоятельств непреодолимой силы, необходимости срочного принятия мер по недопущению причинения вреда, чрезвычайных ситуаций природного или техногенного характера. </w:t>
      </w:r>
      <w:r>
        <w:rPr>
          <w:rFonts w:ascii="Times New Roman" w:hAnsi="Times New Roman"/>
          <w:b w:val="false"/>
          <w:i w:val="false"/>
          <w:caps w:val="false"/>
          <w:smallCaps w:val="false"/>
          <w:strike w:val="false"/>
          <w:dstrike w:val="false"/>
          <w:shadow w:val="false"/>
          <w:color w:val="000000"/>
          <w:spacing w:val="0"/>
          <w:sz w:val="28"/>
          <w:u w:val="none"/>
        </w:rPr>
        <w:t>Указанная терминология введена пунктом 3 статьи 401 Гражданского кодекса РФ, Федеральным законом от 21.12.1994 № 68-ФЗ «О защите населения и территорий от чрезвычайных ситуаций природного и техногенного характера».</w:t>
      </w:r>
      <w:r>
        <w:rPr>
          <w:rFonts w:ascii="Times New Roman" w:hAnsi="Times New Roman"/>
          <w:sz w:val="28"/>
        </w:rPr>
        <w:t xml:space="preserve"> Заказчику в данном случае необходимо иметь конкретные доказательства и факты того, что без оперативного вмешательства возможно возникновение чрезвычайной ситуации, создающей угрозу жизни и здоровью людей и приводящей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 или закупка направлена на ликвидацию последствий чрезвычайной ситуации, аварии и т.п. Основания для заключения договора без проведения конкурентной процедуры должны обладать свойствами внезапности, чрезвычайности и непредотвратимости. В иных случаях заказчик обязан предвидеть необходимость поставки товаров, выполнения работ, оказания услуг и, соответственно, запланировать и провести закупки заранее. </w:t>
      </w:r>
    </w:p>
    <w:p>
      <w:pPr>
        <w:pStyle w:val="Normal"/>
        <w:widowControl/>
        <w:tabs>
          <w:tab w:val="clear" w:pos="708"/>
          <w:tab w:val="left" w:pos="0" w:leader="none"/>
        </w:tabs>
        <w:spacing w:lineRule="atLeast" w:line="200"/>
        <w:ind w:firstLine="709" w:left="0" w:right="0"/>
        <w:jc w:val="both"/>
        <w:rPr>
          <w:sz w:val="28"/>
        </w:rPr>
      </w:pPr>
      <w:r>
        <w:rPr>
          <w:rFonts w:ascii="Times New Roman" w:hAnsi="Times New Roman"/>
          <w:sz w:val="28"/>
        </w:rPr>
        <w:t>Если положением о закупке предусмотрена возможность заключения договора с единственным поставщиком в случае признания закупки несостоявшейся в связи с тем, что по окончании срока подачи заявок не подано ни одной заявки или все заявки отклонены, либо договор по результатам проведения закупки не заключ</w:t>
      </w:r>
      <w:r>
        <w:rPr>
          <w:rFonts w:ascii="Times New Roman" w:hAnsi="Times New Roman"/>
          <w:color w:val="000000"/>
          <w:spacing w:val="0"/>
          <w:sz w:val="28"/>
        </w:rPr>
        <w:t>ен, необходимо предусмотреть обязанность заказчика заключать в таком случае договор исключительно на условиях, предусмотренных извещением, документацией о закупке.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В случае признания действий заказчика ограничивающими конкуренцию при заключении договора с единственным поставщиком антимонопольным органом может быть выдано предписание: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о совершении действий, направленных на расторжение договора,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о недопущении необоснованного выбора способа закупки с единственным поставщиком при осуществлении соответствующей закупки;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о внесении изменений в положение о закупке заказчика путем исключения из него пунктов, позволяющих осуществлять соответствующие закупки у единственного поставщика.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В ситуациях, когда судебные органы встают на сторону заказчика в вопросе выбора способа закупки у единственного поставщика, определяющее значение имеют следующие обстоятельства:</w:t>
      </w:r>
    </w:p>
    <w:p>
      <w:pPr>
        <w:pStyle w:val="Normal"/>
        <w:widowControl/>
        <w:spacing w:lineRule="auto" w:line="240" w:before="0" w:after="0"/>
        <w:ind w:firstLine="709" w:left="0" w:right="0"/>
        <w:jc w:val="both"/>
        <w:rPr>
          <w:rFonts w:ascii="Times New Roman" w:hAnsi="Times New Roman"/>
          <w:sz w:val="28"/>
          <w:shd w:fill="FFA69B" w:val="clear"/>
        </w:rPr>
      </w:pPr>
      <w:r>
        <w:rPr>
          <w:rFonts w:ascii="Times New Roman" w:hAnsi="Times New Roman"/>
          <w:sz w:val="28"/>
        </w:rPr>
        <w:t>наличие критериев и случаев, допускающих закупку у единственного поставщика, но не позволяющих заказчику проводить закупку в любых ситуациях, избегая проведения конкурентных процедур;</w:t>
      </w:r>
    </w:p>
    <w:p>
      <w:pPr>
        <w:pStyle w:val="Normal"/>
        <w:widowControl/>
        <w:spacing w:lineRule="auto" w:line="240" w:before="0" w:after="0"/>
        <w:ind w:firstLine="709" w:left="0" w:right="0"/>
        <w:jc w:val="both"/>
        <w:rPr>
          <w:rFonts w:ascii="Times New Roman" w:hAnsi="Times New Roman"/>
          <w:sz w:val="28"/>
          <w:shd w:fill="FFA69B" w:val="clear"/>
        </w:rPr>
      </w:pPr>
      <w:r>
        <w:rPr>
          <w:rFonts w:ascii="Times New Roman" w:hAnsi="Times New Roman"/>
          <w:sz w:val="28"/>
        </w:rPr>
        <w:t>отсутствие ограничений конкуренции со стороны заказчика – все поступающие предложения от потенциальных участников закупок были приняты и рассмотрены, договор заключен с единственным исполнителем, наиболее полно соответствующим требованиям заказчика.</w:t>
      </w:r>
    </w:p>
    <w:p>
      <w:pPr>
        <w:pStyle w:val="Normal"/>
        <w:widowControl/>
        <w:spacing w:lineRule="auto" w:line="240"/>
        <w:ind w:firstLine="709" w:left="0" w:right="0"/>
        <w:jc w:val="both"/>
        <w:rPr>
          <w:rFonts w:ascii="Times New Roman" w:hAnsi="Times New Roman"/>
          <w:i w:val="false"/>
          <w:i w:val="false"/>
          <w:sz w:val="28"/>
        </w:rPr>
      </w:pPr>
      <w:r>
        <w:rPr>
          <w:rFonts w:ascii="Times New Roman" w:hAnsi="Times New Roman"/>
          <w:b w:val="false"/>
          <w:i w:val="false"/>
          <w:caps w:val="false"/>
          <w:smallCaps w:val="false"/>
          <w:strike w:val="false"/>
          <w:dstrike w:val="false"/>
          <w:shadow w:val="false"/>
          <w:color w:val="000000"/>
          <w:spacing w:val="0"/>
          <w:sz w:val="28"/>
          <w:u w:val="none"/>
        </w:rPr>
        <w:t>Примеры.</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i/>
          <w:caps w:val="false"/>
          <w:smallCaps w:val="false"/>
          <w:strike w:val="false"/>
          <w:dstrike w:val="false"/>
          <w:shadow w:val="false"/>
          <w:color w:val="000000"/>
          <w:spacing w:val="0"/>
          <w:sz w:val="28"/>
          <w:u w:val="none"/>
        </w:rPr>
        <w:t>Определени</w:t>
      </w:r>
      <w:r>
        <w:rPr>
          <w:rFonts w:ascii="Times New Roman" w:hAnsi="Times New Roman"/>
          <w:i/>
          <w:color w:val="000000"/>
          <w:spacing w:val="0"/>
          <w:sz w:val="28"/>
        </w:rPr>
        <w:t>е Верховного Суда РФ от 11 июля 2023 г. № 304-ЭС23-12843 по делу № А03-6377/2022:</w:t>
      </w:r>
    </w:p>
    <w:p>
      <w:pPr>
        <w:pStyle w:val="Normal"/>
        <w:widowControl/>
        <w:spacing w:lineRule="auto" w:line="240"/>
        <w:ind w:firstLine="709" w:left="0" w:right="0"/>
        <w:jc w:val="both"/>
        <w:rPr>
          <w:rFonts w:ascii="Times New Roman" w:hAnsi="Times New Roman"/>
          <w:sz w:val="28"/>
        </w:rPr>
      </w:pPr>
      <w:r>
        <w:rPr>
          <w:rFonts w:ascii="Times New Roman" w:hAnsi="Times New Roman"/>
          <w:i w:val="false"/>
          <w:color w:val="000000"/>
          <w:spacing w:val="0"/>
          <w:sz w:val="28"/>
        </w:rPr>
        <w:t>Арбитражный суд</w:t>
      </w:r>
      <w:r>
        <w:rPr>
          <w:rFonts w:ascii="Times New Roman" w:hAnsi="Times New Roman"/>
          <w:i/>
          <w:color w:val="000000"/>
          <w:spacing w:val="0"/>
          <w:sz w:val="28"/>
        </w:rPr>
        <w:t xml:space="preserve"> </w:t>
      </w:r>
      <w:r>
        <w:rPr>
          <w:rFonts w:ascii="Times New Roman" w:hAnsi="Times New Roman"/>
          <w:sz w:val="28"/>
        </w:rPr>
        <w:t>Алтайского края рассмотрел иск о признании незаконной закупки у единственного поставщика и недействительным договора поставки приборов учета электрической энергии и каналообразующего оборудования для интеллектуальных систем учета электрической энергии (мощности). Суд установил, что закупка была проведена правомерно в связи со срочной потребностью в продукции для технологического присоединения. Истец не доказал нарушение своих прав, так как не участвовал в закупке. Кроме того, договор был полностью исполнен сторонами до подачи иска. Суд счел действия истца зл</w:t>
      </w:r>
      <w:r>
        <w:rPr>
          <w:rFonts w:ascii="Times New Roman" w:hAnsi="Times New Roman"/>
          <w:b w:val="false"/>
          <w:i w:val="false"/>
          <w:caps w:val="false"/>
          <w:smallCaps w:val="false"/>
          <w:strike w:val="false"/>
          <w:dstrike w:val="false"/>
          <w:shadow w:val="false"/>
          <w:color w:val="000000"/>
          <w:sz w:val="28"/>
          <w:u w:val="none"/>
        </w:rPr>
        <w:t>оупотреблением правом и отказал в удовлетворении требований, возложив на него судебные расходы. Апелляционная и кассационная инстанции оставили решение суда первой инстанции без изменения, Верховный Суд РФ  отказал истцу в передаче кассационной жалобы для рассмотрения в судебном заседании Судебной коллегии по экономическим спорам Верховного Суда РФ.</w:t>
      </w:r>
    </w:p>
    <w:p>
      <w:pPr>
        <w:pStyle w:val="Normal"/>
        <w:widowControl/>
        <w:spacing w:lineRule="auto" w:line="240"/>
        <w:ind w:firstLine="709" w:left="0" w:right="0"/>
        <w:jc w:val="both"/>
        <w:rPr>
          <w:rFonts w:ascii="Times New Roman" w:hAnsi="Times New Roman"/>
          <w:i/>
          <w:i/>
          <w:color w:val="000000"/>
          <w:spacing w:val="0"/>
          <w:sz w:val="28"/>
        </w:rPr>
      </w:pPr>
      <w:bookmarkStart w:id="3" w:name="ext-gen4798"/>
      <w:bookmarkEnd w:id="3"/>
      <w:r>
        <w:rPr>
          <w:rFonts w:ascii="Times New Roman" w:hAnsi="Times New Roman"/>
          <w:i/>
          <w:color w:val="000000"/>
          <w:spacing w:val="0"/>
          <w:sz w:val="28"/>
        </w:rPr>
        <w:t>Постановление Восемнадцатого арбитражного апелляционного суда от 28 декабря 2022 г. № 18АП-16024/22 по делу № А34-6155/2022:</w:t>
      </w:r>
    </w:p>
    <w:p>
      <w:pPr>
        <w:pStyle w:val="Normal"/>
        <w:widowControl/>
        <w:spacing w:lineRule="auto" w:line="240"/>
        <w:ind w:hanging="0" w:left="0" w:right="0"/>
        <w:jc w:val="both"/>
        <w:rPr/>
      </w:pPr>
      <w:r>
        <w:rPr>
          <w:rFonts w:ascii="Times New Roman" w:hAnsi="Times New Roman"/>
          <w:b w:val="false"/>
          <w:i w:val="false"/>
          <w:caps w:val="false"/>
          <w:smallCaps w:val="false"/>
          <w:strike w:val="false"/>
          <w:dstrike w:val="false"/>
          <w:shadow w:val="false"/>
          <w:color w:val="000000"/>
          <w:sz w:val="28"/>
          <w:u w:val="none"/>
        </w:rPr>
        <w:tab/>
        <w:t>Арбитражный суд Курганской области рассмотрел иск прокуратуры о признании недействительным договора, заключенного заказчиком. Основанием для обращения прокурора в арбитражный суд послужил вывод о нарушении антимонопольного законодательства (статьи 17 Закона № 135-ФЗ) при заключении АО «Курганский центральный рынок» договора с ООО «Новый рынок» о передаче полномочий единоличного исполнительного органа управляющей организации, поскольку договор заключен с единственным поставщиком без проведения конкурентных процедур. Суд установил, что выбор управляющей организации соответствует внутреннему Положению</w:t>
      </w:r>
      <w:r>
        <w:rPr>
          <w:rFonts w:ascii="Times New Roman" w:hAnsi="Times New Roman"/>
          <w:sz w:val="28"/>
        </w:rPr>
        <w:t xml:space="preserve"> о закупках, а рынок подобных услуг является низкоконкурентным. Доказательств злоупотребления правом или нарушения публичных интересов не представлено. Суд пришел к выводу об экономической эффективности сделки и отказал в удовлетворении исковых требований. Суды а</w:t>
      </w:r>
      <w:r>
        <w:rPr>
          <w:rFonts w:ascii="Times New Roman" w:hAnsi="Times New Roman"/>
          <w:b w:val="false"/>
          <w:i w:val="false"/>
          <w:caps w:val="false"/>
          <w:smallCaps w:val="false"/>
          <w:strike w:val="false"/>
          <w:dstrike w:val="false"/>
          <w:shadow w:val="false"/>
          <w:color w:val="000000"/>
          <w:sz w:val="28"/>
          <w:u w:val="none"/>
        </w:rPr>
        <w:t>пелляционной и кассационной инстанции оставили решение суда первой инстанции без изменения.</w:t>
      </w:r>
    </w:p>
    <w:p>
      <w:pPr>
        <w:pStyle w:val="Normal"/>
        <w:widowControl/>
        <w:spacing w:lineRule="auto" w:line="240" w:before="0" w:after="0"/>
        <w:ind w:firstLine="709" w:left="0" w:right="0"/>
        <w:jc w:val="both"/>
        <w:rPr>
          <w:rFonts w:ascii="Times New Roman" w:hAnsi="Times New Roman"/>
          <w:sz w:val="28"/>
          <w:szCs w:val="28"/>
        </w:rPr>
      </w:pPr>
      <w:r>
        <w:rPr>
          <w:rFonts w:ascii="Times New Roman" w:hAnsi="Times New Roman"/>
          <w:sz w:val="28"/>
          <w:szCs w:val="28"/>
        </w:rPr>
      </w:r>
    </w:p>
    <w:p>
      <w:pPr>
        <w:pStyle w:val="Heading1"/>
        <w:widowControl/>
        <w:spacing w:lineRule="auto" w:line="240" w:before="0" w:after="0"/>
        <w:ind w:hanging="0" w:left="0" w:right="0"/>
        <w:jc w:val="center"/>
        <w:rPr>
          <w:rFonts w:ascii="Times New Roman" w:hAnsi="Times New Roman"/>
          <w:b/>
          <w:sz w:val="28"/>
        </w:rPr>
      </w:pPr>
      <w:r>
        <w:rPr>
          <w:rFonts w:ascii="Times New Roman" w:hAnsi="Times New Roman"/>
          <w:b/>
          <w:i w:val="false"/>
          <w:caps w:val="false"/>
          <w:smallCaps w:val="false"/>
          <w:color w:val="0F1115"/>
          <w:spacing w:val="0"/>
          <w:sz w:val="28"/>
        </w:rPr>
        <w:t xml:space="preserve">3. ПРАВОВЫЕ ПОСЛЕДСТВИЯ НЕПРАВОМЕРНОГО </w:t>
      </w:r>
    </w:p>
    <w:p>
      <w:pPr>
        <w:pStyle w:val="Heading1"/>
        <w:widowControl/>
        <w:spacing w:lineRule="auto" w:line="240" w:before="0" w:after="0"/>
        <w:ind w:hanging="0" w:left="0" w:right="0"/>
        <w:jc w:val="center"/>
        <w:rPr>
          <w:rFonts w:ascii="Times New Roman" w:hAnsi="Times New Roman"/>
          <w:b/>
          <w:sz w:val="28"/>
        </w:rPr>
      </w:pPr>
      <w:r>
        <w:rPr>
          <w:rFonts w:ascii="Times New Roman" w:hAnsi="Times New Roman"/>
          <w:b/>
          <w:i w:val="false"/>
          <w:caps w:val="false"/>
          <w:smallCaps w:val="false"/>
          <w:color w:val="0F1115"/>
          <w:spacing w:val="0"/>
          <w:sz w:val="28"/>
        </w:rPr>
        <w:t xml:space="preserve">ОСУЩЕСТВЛЕНИЯ ЗАКУПКИ У ЕДИНСТВЕННОГО </w:t>
      </w:r>
    </w:p>
    <w:p>
      <w:pPr>
        <w:pStyle w:val="Heading1"/>
        <w:widowControl/>
        <w:spacing w:lineRule="auto" w:line="240" w:before="0" w:after="0"/>
        <w:ind w:hanging="0" w:left="0" w:right="0"/>
        <w:jc w:val="center"/>
        <w:rPr>
          <w:rFonts w:ascii="Times New Roman" w:hAnsi="Times New Roman"/>
          <w:b/>
          <w:sz w:val="28"/>
        </w:rPr>
      </w:pPr>
      <w:r>
        <w:rPr>
          <w:rFonts w:ascii="Times New Roman" w:hAnsi="Times New Roman"/>
          <w:b/>
          <w:i w:val="false"/>
          <w:caps w:val="false"/>
          <w:smallCaps w:val="false"/>
          <w:color w:val="0F1115"/>
          <w:spacing w:val="0"/>
          <w:sz w:val="28"/>
        </w:rPr>
        <w:t>ПОСТАВЩИКА ПО ЗАКОНУ № 223-ФЗ</w:t>
      </w:r>
    </w:p>
    <w:p>
      <w:pPr>
        <w:pStyle w:val="Normal"/>
        <w:widowControl/>
        <w:spacing w:lineRule="auto" w:line="240" w:before="0" w:after="0"/>
        <w:ind w:hanging="0" w:left="0" w:right="0"/>
        <w:jc w:val="center"/>
        <w:rPr>
          <w:rFonts w:ascii="Times New Roman" w:hAnsi="Times New Roman"/>
          <w:b/>
          <w:sz w:val="28"/>
          <w:szCs w:val="28"/>
        </w:rPr>
      </w:pPr>
      <w:r>
        <w:rPr>
          <w:rFonts w:ascii="Times New Roman" w:hAnsi="Times New Roman"/>
          <w:b/>
          <w:sz w:val="28"/>
          <w:szCs w:val="28"/>
        </w:rPr>
      </w:r>
    </w:p>
    <w:p>
      <w:pPr>
        <w:pStyle w:val="Normal"/>
        <w:widowControl/>
        <w:spacing w:lineRule="auto" w:line="240"/>
        <w:ind w:firstLine="709" w:left="0" w:right="0"/>
        <w:jc w:val="both"/>
        <w:rPr/>
      </w:pPr>
      <w:r>
        <w:rPr>
          <w:rFonts w:ascii="Times New Roman" w:hAnsi="Times New Roman"/>
          <w:sz w:val="28"/>
        </w:rPr>
        <w:t>Сама по себе закупка у единственного поставщика по Закону № 223-ФЗ не яв</w:t>
      </w:r>
      <w:r>
        <w:rPr>
          <w:rFonts w:ascii="Times New Roman" w:hAnsi="Times New Roman"/>
          <w:b w:val="false"/>
          <w:i w:val="false"/>
          <w:caps w:val="false"/>
          <w:smallCaps w:val="false"/>
          <w:strike w:val="false"/>
          <w:dstrike w:val="false"/>
          <w:shadow w:val="false"/>
          <w:color w:val="000000"/>
          <w:sz w:val="28"/>
          <w:u w:val="none"/>
        </w:rPr>
        <w:t xml:space="preserve">ляется незаконной. Часть 3.2 статьи 3 Закона № 223-ФЗ прямо предусматривает неконкурентные закупки и устанавливает, что способы таких закупок, включая закупку у единственного поставщика, устанавливаются положением о закупке. Поэтому необходимо установить: </w:t>
      </w:r>
    </w:p>
    <w:p>
      <w:pPr>
        <w:pStyle w:val="Normal"/>
        <w:widowControl/>
        <w:spacing w:lineRule="auto" w:line="240"/>
        <w:ind w:firstLine="709" w:left="0" w:right="0"/>
        <w:jc w:val="both"/>
        <w:rPr>
          <w:rFonts w:ascii="Times New Roman" w:hAnsi="Times New Roman"/>
          <w:b w:val="false"/>
          <w:i w:val="false"/>
          <w:i w:val="false"/>
          <w:caps w:val="false"/>
          <w:smallCaps w:val="false"/>
          <w:strike w:val="false"/>
          <w:dstrike w:val="false"/>
          <w:shadow w:val="false"/>
          <w:color w:val="000000"/>
          <w:sz w:val="28"/>
          <w:u w:val="none"/>
        </w:rPr>
      </w:pPr>
      <w:r>
        <w:rPr>
          <w:rFonts w:ascii="Times New Roman" w:hAnsi="Times New Roman"/>
          <w:b w:val="false"/>
          <w:i w:val="false"/>
          <w:caps w:val="false"/>
          <w:smallCaps w:val="false"/>
          <w:strike w:val="false"/>
          <w:dstrike w:val="false"/>
          <w:shadow w:val="false"/>
          <w:color w:val="000000"/>
          <w:sz w:val="28"/>
          <w:u w:val="none"/>
        </w:rPr>
        <w:t xml:space="preserve">какое положение о закупке действовало на момент закупки; </w:t>
      </w:r>
    </w:p>
    <w:p>
      <w:pPr>
        <w:pStyle w:val="Normal"/>
        <w:widowControl/>
        <w:spacing w:lineRule="auto" w:line="240"/>
        <w:ind w:firstLine="709" w:left="0" w:right="0"/>
        <w:jc w:val="both"/>
        <w:rPr>
          <w:rFonts w:ascii="Times New Roman" w:hAnsi="Times New Roman"/>
          <w:b w:val="false"/>
          <w:i w:val="false"/>
          <w:i w:val="false"/>
          <w:caps w:val="false"/>
          <w:smallCaps w:val="false"/>
          <w:strike w:val="false"/>
          <w:dstrike w:val="false"/>
          <w:shadow w:val="false"/>
          <w:color w:val="000000"/>
          <w:sz w:val="28"/>
          <w:u w:val="none"/>
        </w:rPr>
      </w:pPr>
      <w:r>
        <w:rPr>
          <w:rFonts w:ascii="Times New Roman" w:hAnsi="Times New Roman"/>
          <w:b w:val="false"/>
          <w:i w:val="false"/>
          <w:caps w:val="false"/>
          <w:smallCaps w:val="false"/>
          <w:strike w:val="false"/>
          <w:dstrike w:val="false"/>
          <w:shadow w:val="false"/>
          <w:color w:val="000000"/>
          <w:sz w:val="28"/>
          <w:u w:val="none"/>
        </w:rPr>
        <w:t xml:space="preserve">какое основание для закупки у единственного поставщика было предусмотрено; </w:t>
      </w:r>
    </w:p>
    <w:p>
      <w:pPr>
        <w:pStyle w:val="Normal"/>
        <w:widowControl/>
        <w:spacing w:lineRule="auto" w:line="240"/>
        <w:ind w:firstLine="709" w:left="0" w:right="0"/>
        <w:jc w:val="both"/>
        <w:rPr>
          <w:rFonts w:ascii="Times New Roman" w:hAnsi="Times New Roman"/>
          <w:b w:val="false"/>
          <w:i w:val="false"/>
          <w:i w:val="false"/>
          <w:caps w:val="false"/>
          <w:smallCaps w:val="false"/>
          <w:strike w:val="false"/>
          <w:dstrike w:val="false"/>
          <w:shadow w:val="false"/>
          <w:color w:val="000000"/>
          <w:sz w:val="28"/>
          <w:u w:val="none"/>
        </w:rPr>
      </w:pPr>
      <w:r>
        <w:rPr>
          <w:rFonts w:ascii="Times New Roman" w:hAnsi="Times New Roman"/>
          <w:b w:val="false"/>
          <w:i w:val="false"/>
          <w:caps w:val="false"/>
          <w:smallCaps w:val="false"/>
          <w:strike w:val="false"/>
          <w:dstrike w:val="false"/>
          <w:shadow w:val="false"/>
          <w:color w:val="000000"/>
          <w:sz w:val="28"/>
          <w:u w:val="none"/>
        </w:rPr>
        <w:t xml:space="preserve">соответствовала ли конкретная закупка этому основанию; </w:t>
      </w:r>
    </w:p>
    <w:p>
      <w:pPr>
        <w:pStyle w:val="Normal"/>
        <w:widowControl/>
        <w:spacing w:lineRule="auto" w:line="240"/>
        <w:ind w:firstLine="709" w:left="0" w:right="0"/>
        <w:jc w:val="both"/>
        <w:rPr>
          <w:rFonts w:ascii="Times New Roman" w:hAnsi="Times New Roman"/>
          <w:b w:val="false"/>
          <w:i w:val="false"/>
          <w:i w:val="false"/>
          <w:caps w:val="false"/>
          <w:smallCaps w:val="false"/>
          <w:strike w:val="false"/>
          <w:dstrike w:val="false"/>
          <w:shadow w:val="false"/>
          <w:color w:val="000000"/>
          <w:sz w:val="28"/>
          <w:u w:val="none"/>
        </w:rPr>
      </w:pPr>
      <w:r>
        <w:rPr>
          <w:rFonts w:ascii="Times New Roman" w:hAnsi="Times New Roman"/>
          <w:b w:val="false"/>
          <w:i w:val="false"/>
          <w:caps w:val="false"/>
          <w:smallCaps w:val="false"/>
          <w:strike w:val="false"/>
          <w:dstrike w:val="false"/>
          <w:shadow w:val="false"/>
          <w:color w:val="000000"/>
          <w:sz w:val="28"/>
          <w:u w:val="none"/>
        </w:rPr>
        <w:t xml:space="preserve">не нарушены ли антимонопольные требования. </w:t>
      </w:r>
    </w:p>
    <w:p>
      <w:pPr>
        <w:pStyle w:val="Normal"/>
        <w:widowControl/>
        <w:spacing w:lineRule="auto" w:line="240"/>
        <w:ind w:firstLine="709" w:left="0" w:right="0"/>
        <w:jc w:val="both"/>
        <w:rPr/>
      </w:pPr>
      <w:r>
        <w:rPr>
          <w:rFonts w:ascii="Times New Roman" w:hAnsi="Times New Roman"/>
          <w:b w:val="false"/>
          <w:i w:val="false"/>
          <w:caps w:val="false"/>
          <w:smallCaps w:val="false"/>
          <w:strike w:val="false"/>
          <w:dstrike w:val="false"/>
          <w:shadow w:val="false"/>
          <w:color w:val="000000"/>
          <w:sz w:val="28"/>
          <w:u w:val="none"/>
        </w:rPr>
        <w:t>Статья 7 Закона № 223-ФЗ устанавливает, что за нарушение требований  Закона № 223-ФЗ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w:t>
      </w:r>
      <w:r>
        <w:rPr>
          <w:rFonts w:ascii="Times New Roman" w:hAnsi="Times New Roman"/>
          <w:sz w:val="28"/>
        </w:rPr>
        <w:t xml:space="preserve">Ф. </w:t>
      </w:r>
    </w:p>
    <w:p>
      <w:pPr>
        <w:pStyle w:val="Normal"/>
        <w:widowControl/>
        <w:spacing w:lineRule="auto" w:line="240"/>
        <w:ind w:firstLine="709" w:left="0" w:right="0"/>
        <w:jc w:val="both"/>
        <w:rPr>
          <w:rFonts w:ascii="Times New Roman" w:hAnsi="Times New Roman"/>
          <w:b/>
          <w:sz w:val="28"/>
        </w:rPr>
      </w:pPr>
      <w:r>
        <w:rPr/>
      </w:r>
    </w:p>
    <w:p>
      <w:pPr>
        <w:pStyle w:val="Normal"/>
        <w:widowControl/>
        <w:spacing w:lineRule="auto" w:line="240" w:before="0" w:after="0"/>
        <w:ind w:hanging="0" w:left="0" w:right="0"/>
        <w:jc w:val="center"/>
        <w:rPr>
          <w:b/>
        </w:rPr>
      </w:pPr>
      <w:r>
        <w:rPr>
          <w:rFonts w:ascii="Times New Roman" w:hAnsi="Times New Roman"/>
          <w:b/>
          <w:sz w:val="28"/>
        </w:rPr>
        <w:t>Административная ответственность</w:t>
      </w:r>
    </w:p>
    <w:p>
      <w:pPr>
        <w:pStyle w:val="Normal"/>
        <w:widowControl/>
        <w:spacing w:lineRule="auto" w:line="240"/>
        <w:ind w:firstLine="709" w:left="0" w:right="0"/>
        <w:jc w:val="center"/>
        <w:rPr>
          <w:rFonts w:ascii="Times New Roman" w:hAnsi="Times New Roman"/>
          <w:sz w:val="24"/>
          <w:szCs w:val="24"/>
        </w:rPr>
      </w:pPr>
      <w:r>
        <w:rPr>
          <w:rFonts w:ascii="Times New Roman" w:hAnsi="Times New Roman"/>
          <w:sz w:val="24"/>
          <w:szCs w:val="24"/>
        </w:rPr>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Статья 17 Закона № 135-ФЗ устанавливает антимонопольные требования к торгам, запросам котировок и запросам предложений. В данном контексте возникает важнейший блок ответственности.</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Из письма ФАС России от 21.08.2024 № МШ/75011/24 следует, что само заключение договора с единственным поставщиком по основанию, предусмотренному действующим положением о закупке, не является нарушением статьи 17 Закона № 135-ФЗ. Тем не менее, если заказчик сформировал свое положение о закупке таким образом, что оно позволяет закупать практически все у единственного поставщика без объективных причин, ФАС России может оценивать установление таких оснований как нарушение части 1 статьи 17 Закона № 135-ФЗ. Антимонопольный орган в таком случае прямо ссылается на соответствующую практику Верховного Суда РФ.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Статья 14.32 КоАП РФ регулирует заключение антиконкурентных соглашений, то есть случаи, если при закупке у единственного поставщика имелась договоренность заказчика и поставщика. </w:t>
      </w:r>
    </w:p>
    <w:p>
      <w:pPr>
        <w:pStyle w:val="Normal"/>
        <w:spacing w:lineRule="auto" w:line="240"/>
        <w:ind w:firstLine="709" w:left="0" w:right="0"/>
        <w:jc w:val="both"/>
        <w:rPr>
          <w:rFonts w:ascii="Times New Roman" w:hAnsi="Times New Roman"/>
          <w:sz w:val="28"/>
        </w:rPr>
      </w:pPr>
      <w:r>
        <w:rPr>
          <w:rFonts w:ascii="Times New Roman" w:hAnsi="Times New Roman"/>
          <w:sz w:val="28"/>
        </w:rPr>
        <w:t>При этом самого факта закупки у единственного поставщика недостаточно, необходимо доказать соответствующее соглашение либо согласованные действия. Такими обстоятельствами могут быть: заказчик заранее согласовал с поставщиком условия, поставщик был заранее определен, завышена цена договора, действия сторон были направлены на устранение конкуренции, имелись доказательства обмена информацией или координации и т. п.</w:t>
      </w:r>
    </w:p>
    <w:p>
      <w:pPr>
        <w:pStyle w:val="Normal"/>
        <w:spacing w:lineRule="auto" w:line="240"/>
        <w:ind w:firstLine="709" w:left="0" w:right="0"/>
        <w:jc w:val="both"/>
        <w:rPr>
          <w:rFonts w:ascii="Times New Roman" w:hAnsi="Times New Roman"/>
          <w:sz w:val="28"/>
        </w:rPr>
      </w:pPr>
      <w:r>
        <w:rPr>
          <w:rFonts w:ascii="Times New Roman" w:hAnsi="Times New Roman"/>
          <w:sz w:val="28"/>
        </w:rPr>
        <w:t>Так в решении УФАС по Республике Хакасия от 07.02.2024 по делу               № 019/01/11-764/2023 заказчик и три ИП признаны нарушившими пункт 3 части 4 статьи 11</w:t>
      </w:r>
      <w:r>
        <w:rPr>
          <w:rFonts w:ascii="Times New Roman" w:hAnsi="Times New Roman"/>
          <w:b w:val="false"/>
          <w:i w:val="false"/>
          <w:caps w:val="false"/>
          <w:smallCaps w:val="false"/>
          <w:color w:val="0F1115"/>
          <w:spacing w:val="0"/>
          <w:sz w:val="28"/>
        </w:rPr>
        <w:t xml:space="preserve"> Закона № 135-ФЗ (антиконкурентное соглашение). Вина заказчика выразилась в дроблении закупок — заключении в один день множества прямых договоров с ИП на суммы до 500 тыс. руб., фактически образующих единые сделки. Отсутствие экономии подтверждается тем, что  цены договоров были выше рыночных, а последующая конкурентная процедура дала снижение на 34,15%. Вина поставщика заключается в участии в антиконкурентном соглашении, выражившимся в заключении прямых договоров в обход конкурентных процедур по телефонным заявкам заказчика, а наличие родственных (мать-дочь) и дружеских отношений с руководством учреждения, совместный отдых, общие контакты и адреса подтверждают сговор. Выводы: антимонопольным органом доказано антиконкурентное соглашение, направленное на обход торгов и создание преимуществ конкретным ИП; нарушение устранено (проведена конкурентная закупка), предписание не выдавалось; материалы переданы для возбуждения дел по статье 14.32 КоАП РФ.</w:t>
      </w:r>
    </w:p>
    <w:p>
      <w:pPr>
        <w:pStyle w:val="Normal"/>
        <w:spacing w:lineRule="auto" w:line="240"/>
        <w:ind w:firstLine="709" w:left="0" w:right="0"/>
        <w:jc w:val="both"/>
        <w:rPr>
          <w:rFonts w:ascii="Times New Roman" w:hAnsi="Times New Roman"/>
          <w:color w:val="0F1115"/>
          <w:sz w:val="28"/>
        </w:rPr>
      </w:pPr>
      <w:r>
        <w:rPr>
          <w:rFonts w:ascii="Times New Roman" w:hAnsi="Times New Roman"/>
          <w:color w:val="0F1115"/>
          <w:sz w:val="28"/>
        </w:rPr>
        <w:t>Иная практика отражена в решении УФАС по Владимирской области от 14.02.2025 по делу № 033/01/11-798/2024. В данном случае закупка проводилась в соответствии с Законом № 44-ФЗ, но позиция антимонопольного органа актуальна и для Закона № 223-ФЗ. Заказчик и поставщик обвинялись по пункту 3 части 4 статьи 11 Закона № 135-ФЗ — заключение пяти договоров с единственным поставщиком без торгов на датчики Freestyle Libre по 600 тыс. руб. каждый (единая сделка, искусственно раздробленная для обхода пункта 4 части 1 статьи 93 Закона № 44-ФЗ; годовой порог закупок у единственного поставщика был превышен). Доводы заказчика: ассигнования выделены 14.12.2023, при неосвоении подлежали возврату, времени на торги не было. Доводы поставщика: АО не знало и не могло знать о превышении заказчиком годового объема закупок у единственного поставщика. Комиссия установила: договоры образуют единую сделку, однако для квалификации по пункту 3 части 4 статьи 11 Закона № 135-ФЗ необходимы одновременно соглашение, отрицательные последствия (препятствия доступу на рынок) и причинно-следственная связь. Достаточных доказательств договоренности о создании препятствий не найдено. Заказчиком направлены и рассмотрены три коммерческих предложения (5 960, 6 400 и 6 000 руб. за датчик), что свидетельствует об отсутствии единого плана и противоправной цели. Антимонопольный орга</w:t>
      </w:r>
      <w:r>
        <w:rPr>
          <w:rFonts w:ascii="Times New Roman" w:hAnsi="Times New Roman"/>
          <w:color w:val="0F1115"/>
          <w:sz w:val="28"/>
        </w:rPr>
        <w:t>н</w:t>
      </w:r>
      <w:r>
        <w:rPr>
          <w:rFonts w:ascii="Times New Roman" w:hAnsi="Times New Roman"/>
          <w:color w:val="0F1115"/>
          <w:sz w:val="28"/>
        </w:rPr>
        <w:t xml:space="preserve"> пришел к выводу, что нарушение пункта 3 части 4 статьи 11 Закона № 135-ФЗ отсутствует, дело прекращено. </w:t>
      </w:r>
    </w:p>
    <w:p>
      <w:pPr>
        <w:pStyle w:val="Normal"/>
        <w:spacing w:lineRule="auto" w:line="240"/>
        <w:ind w:firstLine="709" w:left="0" w:right="0"/>
        <w:jc w:val="both"/>
        <w:rPr>
          <w:rFonts w:ascii="Times New Roman" w:hAnsi="Times New Roman"/>
          <w:color w:val="0F1115"/>
          <w:sz w:val="28"/>
        </w:rPr>
      </w:pPr>
      <w:r>
        <w:rPr>
          <w:rFonts w:ascii="Times New Roman" w:hAnsi="Times New Roman"/>
          <w:color w:val="0F1115"/>
          <w:sz w:val="28"/>
        </w:rPr>
        <w:t>Таким образом, можно сделать вывод, что дробление закупок и превышение допустимого годового объема сами по себе не образуют антиконкурентного соглашения, антимонопольный орган обязан доказать все элементы состава, включая договоренность и причинно-следственную связь с ограничением конкуренции.</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Часть 7.2 статьи 19.5 КоАП РФ предусматривает ответственность в случае, если не исполнено предписание ФАС России или ее территориальных органов.</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Например, ФАС установила нарушение и выдала заказчику предписание: изменить положение о закупке, прекратить нарушение в установленный срок. Если заказчик не исполнил законное предписание, может возникнуть ответственность по части 7.2 статьи 19.5 КоАП РФ.</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Штраф: должностные лица — 30 000 - 50 000 рублей, юридические лица – 300 000 - 500 000 рублей.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При антимонопольном предписании применяются также специальные части статьи 19.5 КоАП РФ в зависимости от характера предписания. Например, часть 2.1 предусматривает штраф для должностного лица 18 000 – 20 000 рублей либо дисквалификацию до 3 лет, для юридического лица – 300 000 - 500 000 рублей. </w:t>
      </w:r>
    </w:p>
    <w:p>
      <w:pPr>
        <w:pStyle w:val="Normal"/>
        <w:widowControl/>
        <w:spacing w:lineRule="auto" w:line="240"/>
        <w:ind w:firstLine="709" w:left="0" w:right="0"/>
        <w:jc w:val="both"/>
        <w:rPr/>
      </w:pPr>
      <w:r>
        <w:rPr>
          <w:rFonts w:ascii="Times New Roman" w:hAnsi="Times New Roman"/>
          <w:sz w:val="28"/>
        </w:rPr>
        <w:t xml:space="preserve">Одним из главных рисков при проведении закупки у единственного поставщика  является возможность признания сделки недействительной, что влечет за собой последствия предусмотренные статьей 167 ГК РФ. </w:t>
      </w:r>
      <w:r>
        <w:rPr>
          <w:rFonts w:ascii="Times New Roman" w:hAnsi="Times New Roman"/>
          <w:b w:val="false"/>
          <w:i w:val="false"/>
          <w:caps w:val="false"/>
          <w:smallCaps w:val="false"/>
          <w:strike w:val="false"/>
          <w:dstrike w:val="false"/>
          <w:shadow w:val="false"/>
          <w:color w:val="000000"/>
          <w:sz w:val="28"/>
          <w:u w:val="none"/>
        </w:rPr>
        <w:t xml:space="preserve">Статьей 52 АПК РФ предусмотрено право прокурора обратиться в арбитражный суд 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 </w:t>
      </w:r>
      <w:r>
        <w:rPr>
          <w:rFonts w:ascii="Times New Roman" w:hAnsi="Times New Roman"/>
          <w:b w:val="false"/>
          <w:i w:val="false"/>
          <w:caps w:val="false"/>
          <w:smallCaps w:val="false"/>
          <w:strike w:val="false"/>
          <w:dstrike w:val="false"/>
          <w:shadow w:val="false"/>
          <w:color w:val="000000"/>
          <w:sz w:val="28"/>
          <w:u w:val="none"/>
        </w:rPr>
        <w:t>Статьей 23 Закона № 135-ФЗ, статьей 53 АПК РФ предусмотрено право антимонопольных органов обращат</w:t>
      </w:r>
      <w:r>
        <w:rPr>
          <w:rFonts w:ascii="Times New Roman" w:hAnsi="Times New Roman"/>
          <w:b w:val="false"/>
          <w:i w:val="false"/>
          <w:caps w:val="false"/>
          <w:smallCaps w:val="false"/>
          <w:strike w:val="false"/>
          <w:dstrike w:val="false"/>
          <w:shadow w:val="false"/>
          <w:color w:val="000000"/>
          <w:sz w:val="28"/>
          <w:u w:val="none"/>
        </w:rPr>
        <w:t>ь</w:t>
      </w:r>
      <w:r>
        <w:rPr>
          <w:rFonts w:ascii="Times New Roman" w:hAnsi="Times New Roman"/>
          <w:b w:val="false"/>
          <w:i w:val="false"/>
          <w:caps w:val="false"/>
          <w:smallCaps w:val="false"/>
          <w:strike w:val="false"/>
          <w:dstrike w:val="false"/>
          <w:shadow w:val="false"/>
          <w:color w:val="000000"/>
          <w:sz w:val="28"/>
          <w:u w:val="none"/>
        </w:rPr>
        <w:t xml:space="preserve">ся в арбитражный суд с исками, заявлениями о нарушении антимонопольного законодательства, в том числе </w:t>
      </w:r>
      <w:r>
        <w:rPr>
          <w:rFonts w:ascii="Times New Roman" w:hAnsi="Times New Roman"/>
          <w:b w:val="false"/>
          <w:i w:val="false"/>
          <w:caps w:val="false"/>
          <w:smallCaps w:val="false"/>
          <w:strike w:val="false"/>
          <w:dstrike w:val="false"/>
          <w:shadow w:val="false"/>
          <w:color w:val="000000"/>
          <w:sz w:val="28"/>
          <w:u w:val="none"/>
        </w:rPr>
        <w:t>о признании договоров недействительными.</w:t>
      </w:r>
    </w:p>
    <w:p>
      <w:pPr>
        <w:pStyle w:val="Normal"/>
        <w:widowControl/>
        <w:spacing w:lineRule="auto" w:line="240"/>
        <w:ind w:firstLine="709" w:left="0" w:right="0"/>
        <w:jc w:val="both"/>
        <w:rPr>
          <w:rFonts w:ascii="Times New Roman" w:hAnsi="Times New Roman"/>
          <w:b w:val="false"/>
          <w:i w:val="false"/>
          <w:i w:val="false"/>
          <w:caps w:val="false"/>
          <w:smallCaps w:val="false"/>
          <w:strike w:val="false"/>
          <w:dstrike w:val="false"/>
          <w:shadow w:val="false"/>
          <w:color w:val="000000"/>
          <w:sz w:val="28"/>
          <w:u w:val="none"/>
        </w:rPr>
      </w:pPr>
      <w:r>
        <w:rPr>
          <w:rFonts w:ascii="Times New Roman" w:hAnsi="Times New Roman"/>
          <w:b w:val="false"/>
          <w:i w:val="false"/>
          <w:caps w:val="false"/>
          <w:smallCaps w:val="false"/>
          <w:strike w:val="false"/>
          <w:dstrike w:val="false"/>
          <w:shadow w:val="false"/>
          <w:color w:val="000000"/>
          <w:sz w:val="28"/>
          <w:u w:val="none"/>
        </w:rPr>
        <w:t>Примеры.</w:t>
      </w:r>
    </w:p>
    <w:p>
      <w:pPr>
        <w:pStyle w:val="Normal"/>
        <w:widowControl/>
        <w:spacing w:lineRule="auto" w:line="240"/>
        <w:ind w:firstLine="709" w:left="0" w:right="0"/>
        <w:jc w:val="both"/>
        <w:rPr>
          <w:rFonts w:ascii="Times New Roman" w:hAnsi="Times New Roman"/>
          <w:sz w:val="28"/>
        </w:rPr>
      </w:pPr>
      <w:r>
        <w:rPr>
          <w:rFonts w:ascii="Times New Roman" w:hAnsi="Times New Roman"/>
          <w:i/>
          <w:sz w:val="28"/>
        </w:rPr>
        <w:t xml:space="preserve">Решение Арбитражного суда Ямало-Ненецкого автономного округа от 10 июня 2026 г. по делу № А81-2986/2026. </w:t>
      </w:r>
      <w:r>
        <w:rPr>
          <w:rFonts w:ascii="Times New Roman" w:hAnsi="Times New Roman"/>
          <w:sz w:val="28"/>
        </w:rPr>
        <w:t xml:space="preserve">Арбитражный суд Ямало-Ненецкого автономного округа рассмотрел иск прокуратуры о признании недействительным договора подряда, заключенного между МАУ «Дворец спорта «Звездный» и ИП Топоровым О.В. Суд установил, что договор был заключен с единственным поставщиком в обход конкурентных процедур, что нарушает требования законодательства о закупках и публичные интересы. Договор признан недйствительным. В качестве последствий недействительности суд постановил взыскать с предпринимателя в пользу учреждения сумму необоснованно включенных непредвиденных затрат и сметной прибыли. </w:t>
      </w:r>
    </w:p>
    <w:p>
      <w:pPr>
        <w:pStyle w:val="Normal"/>
        <w:widowControl/>
        <w:spacing w:lineRule="auto" w:line="240"/>
        <w:ind w:firstLine="709" w:left="0" w:right="0"/>
        <w:jc w:val="both"/>
        <w:rPr/>
      </w:pPr>
      <w:r>
        <w:rPr>
          <w:rFonts w:ascii="Times New Roman" w:hAnsi="Times New Roman"/>
          <w:i/>
          <w:sz w:val="28"/>
        </w:rPr>
        <w:t xml:space="preserve">Постановление Арбитражного суда Северо-Западного округа от 26 августа 2026 г. № Ф07-6641/26 по делу № А13-7303/2025. </w:t>
      </w:r>
      <w:r>
        <w:rPr>
          <w:rFonts w:ascii="Times New Roman" w:hAnsi="Times New Roman"/>
          <w:b w:val="false"/>
          <w:i w:val="false"/>
          <w:caps w:val="false"/>
          <w:smallCaps w:val="false"/>
          <w:color w:val="000000"/>
          <w:spacing w:val="0"/>
          <w:sz w:val="28"/>
        </w:rPr>
        <w:t>Суды установили, что закупка была проведена с нарушением принципов Закона №</w:t>
      </w:r>
      <w:r>
        <w:rPr>
          <w:rFonts w:ascii="Times New Roman" w:hAnsi="Times New Roman"/>
          <w:b w:val="false"/>
          <w:i w:val="false"/>
          <w:caps w:val="false"/>
          <w:smallCaps w:val="false"/>
          <w:strike w:val="false"/>
          <w:dstrike w:val="false"/>
          <w:color w:val="000000"/>
          <w:spacing w:val="0"/>
          <w:sz w:val="28"/>
          <w:u w:val="none"/>
        </w:rPr>
        <w:t> </w:t>
      </w:r>
      <w:r>
        <w:rPr>
          <w:rFonts w:ascii="Times New Roman" w:hAnsi="Times New Roman"/>
          <w:b w:val="false"/>
          <w:i w:val="false"/>
          <w:caps w:val="false"/>
          <w:smallCaps w:val="false"/>
          <w:color w:val="000000"/>
          <w:spacing w:val="0"/>
          <w:sz w:val="28"/>
        </w:rPr>
        <w:t xml:space="preserve">223-ФЗ: отсутствовало обоснование потребности в приобретении автомобиля у единственного поставщика. В связи с недействительностью договора суд применил двустороннюю реституцию, обязав стороны вернуть полученное по договорам. </w:t>
      </w:r>
    </w:p>
    <w:p>
      <w:pPr>
        <w:pStyle w:val="Normal"/>
        <w:widowControl/>
        <w:spacing w:lineRule="auto" w:line="240" w:before="0" w:after="0"/>
        <w:ind w:hanging="0" w:left="0" w:right="0"/>
        <w:jc w:val="center"/>
        <w:rPr>
          <w:rFonts w:ascii="Times New Roman" w:hAnsi="Times New Roman"/>
          <w:b/>
          <w:sz w:val="24"/>
          <w:szCs w:val="24"/>
        </w:rPr>
      </w:pPr>
      <w:r>
        <w:rPr>
          <w:rFonts w:ascii="Times New Roman" w:hAnsi="Times New Roman"/>
          <w:b/>
          <w:sz w:val="24"/>
          <w:szCs w:val="24"/>
        </w:rPr>
      </w:r>
    </w:p>
    <w:p>
      <w:pPr>
        <w:pStyle w:val="Normal"/>
        <w:widowControl/>
        <w:spacing w:lineRule="auto" w:line="240" w:before="0" w:after="0"/>
        <w:ind w:hanging="0" w:left="0" w:right="0"/>
        <w:jc w:val="center"/>
        <w:rPr>
          <w:rFonts w:ascii="Times New Roman" w:hAnsi="Times New Roman"/>
          <w:b/>
          <w:sz w:val="28"/>
        </w:rPr>
      </w:pPr>
      <w:r>
        <w:rPr>
          <w:rFonts w:ascii="Times New Roman" w:hAnsi="Times New Roman"/>
          <w:b/>
          <w:sz w:val="28"/>
        </w:rPr>
        <w:t>Дробление закупок</w:t>
      </w:r>
    </w:p>
    <w:p>
      <w:pPr>
        <w:pStyle w:val="Normal"/>
        <w:widowControl/>
        <w:spacing w:lineRule="auto" w:line="240" w:before="0" w:after="0"/>
        <w:ind w:hanging="0" w:left="0" w:right="0"/>
        <w:jc w:val="center"/>
        <w:rPr>
          <w:rFonts w:ascii="Times New Roman" w:hAnsi="Times New Roman"/>
          <w:b/>
          <w:sz w:val="24"/>
          <w:szCs w:val="24"/>
        </w:rPr>
      </w:pPr>
      <w:r>
        <w:rPr>
          <w:rFonts w:ascii="Times New Roman" w:hAnsi="Times New Roman"/>
          <w:b/>
          <w:sz w:val="24"/>
          <w:szCs w:val="24"/>
        </w:rPr>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Договоры, заключенные с единственным поставщиком, могут быть признаны недействительными также вследствие искусственного дробления закупок.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Закон </w:t>
      </w:r>
      <w:r>
        <w:rPr>
          <w:rFonts w:ascii="Times New Roman" w:hAnsi="Times New Roman"/>
          <w:color w:val="000000"/>
          <w:sz w:val="28"/>
          <w:u w:val="none"/>
        </w:rPr>
        <w:t>№ 223-ФЗ</w:t>
      </w:r>
      <w:r>
        <w:rPr>
          <w:rFonts w:ascii="Times New Roman" w:hAnsi="Times New Roman"/>
          <w:sz w:val="28"/>
        </w:rPr>
        <w:t xml:space="preserve"> не содержит норм, которые запрещали бы дробление, но одним из принципов закупок является отсутствие необоснованного ограничения конкуренции (пункт 2 части 1 статьи 3 Закона № 223-ФЗ).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Понятие «дробление закупок» в законодательстве также отсутствует. В судебной и административной практике дроблением закупок считается преднамеренное разделение закупки на группу однородных менее крупных договоров, </w:t>
      </w:r>
      <w:r>
        <w:rPr>
          <w:rFonts w:ascii="Times New Roman" w:hAnsi="Times New Roman"/>
          <w:sz w:val="28"/>
        </w:rPr>
        <w:t>объединенных одной целью</w:t>
      </w:r>
      <w:r>
        <w:rPr>
          <w:rFonts w:ascii="Times New Roman" w:hAnsi="Times New Roman"/>
          <w:sz w:val="28"/>
        </w:rPr>
        <w:t xml:space="preserve">.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Дробление закупки — это не формальное нарушение, так как прямого запрета нет, оно может трактоваться как злоупотребление правом, которое ведет к ограничению конкуренции (статья 17 Закона № 135-ФЗ). При  дроблении речь идет об отсутствии конкуренции: заключая несколько «мелких» договоров с одним поставщиком, заказчик лишает возможности других поставщиков принять участие в укрупненной конкурентной закупке.  </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Контрольные органы и суды негативно смотрят на дробление закупок с целью ухода от конкурентных процедур. При этом неважно, с одним ли поставщиком</w:t>
      </w:r>
      <w:r>
        <w:rPr>
          <w:rFonts w:ascii="Times New Roman" w:hAnsi="Times New Roman"/>
          <w:color w:val="000000"/>
          <w:sz w:val="28"/>
        </w:rPr>
        <w:t xml:space="preserve"> были заключены однородные договоры или с несколькими.</w:t>
      </w:r>
    </w:p>
    <w:p>
      <w:pPr>
        <w:pStyle w:val="Normal"/>
        <w:widowControl/>
        <w:spacing w:lineRule="auto" w:line="240" w:before="0" w:after="0"/>
        <w:ind w:firstLine="709" w:left="0" w:right="0"/>
        <w:jc w:val="both"/>
        <w:rPr>
          <w:color w:val="000000"/>
        </w:rPr>
      </w:pPr>
      <w:r>
        <w:rPr>
          <w:rFonts w:ascii="Times New Roman" w:hAnsi="Times New Roman"/>
          <w:color w:val="000000"/>
          <w:sz w:val="28"/>
        </w:rPr>
        <w:t xml:space="preserve">Судебная практика последних лет подтверждает эту позицию и ужесточает подходы как к квалификации таких нарушений, так и к применению последствий. </w:t>
      </w:r>
    </w:p>
    <w:p>
      <w:pPr>
        <w:pStyle w:val="Normal"/>
        <w:widowControl/>
        <w:spacing w:lineRule="auto" w:line="240" w:before="0" w:after="0"/>
        <w:ind w:firstLine="709" w:left="0" w:right="0"/>
        <w:jc w:val="both"/>
        <w:rPr>
          <w:i w:val="false"/>
          <w:i w:val="false"/>
          <w:color w:val="000000"/>
        </w:rPr>
      </w:pPr>
      <w:r>
        <w:rPr>
          <w:rFonts w:ascii="Times New Roman" w:hAnsi="Times New Roman"/>
          <w:i w:val="false"/>
          <w:color w:val="000000"/>
          <w:sz w:val="28"/>
        </w:rPr>
        <w:t>Примеры.</w:t>
      </w:r>
    </w:p>
    <w:p>
      <w:pPr>
        <w:pStyle w:val="Normal"/>
        <w:widowControl/>
        <w:spacing w:lineRule="auto" w:line="240"/>
        <w:ind w:firstLine="709" w:left="0" w:right="0"/>
        <w:jc w:val="both"/>
        <w:rPr>
          <w:color w:val="000000"/>
        </w:rPr>
      </w:pPr>
      <w:r>
        <w:rPr>
          <w:rFonts w:ascii="Times New Roman" w:hAnsi="Times New Roman"/>
          <w:b w:val="false"/>
          <w:i/>
          <w:caps w:val="false"/>
          <w:smallCaps w:val="false"/>
          <w:color w:val="000000"/>
          <w:spacing w:val="0"/>
          <w:sz w:val="28"/>
        </w:rPr>
        <w:t xml:space="preserve">Определение Верховного Суда РФ от 13 мая 2022 г. № 304-ЭС22-5628 по делу № А46-7489/2021. </w:t>
      </w:r>
      <w:r>
        <w:rPr>
          <w:rFonts w:ascii="Times New Roman" w:hAnsi="Times New Roman"/>
          <w:color w:val="000000"/>
          <w:sz w:val="28"/>
        </w:rPr>
        <w:t xml:space="preserve">Управление ФАС установило, что заказчик искусственно раздробил единую сделку на 41 договор на поставку щебня с единственным поставщиком, чтобы избежать </w:t>
      </w:r>
      <w:r>
        <w:rPr>
          <w:rFonts w:ascii="Times New Roman" w:hAnsi="Times New Roman"/>
          <w:b w:val="false"/>
          <w:i w:val="false"/>
          <w:caps w:val="false"/>
          <w:smallCaps w:val="false"/>
          <w:strike w:val="false"/>
          <w:dstrike w:val="false"/>
          <w:shadow w:val="false"/>
          <w:color w:val="000000"/>
          <w:sz w:val="28"/>
          <w:u w:val="none"/>
        </w:rPr>
        <w:t>конкурентных процедур при закупке щебня н</w:t>
      </w:r>
      <w:r>
        <w:rPr>
          <w:rFonts w:ascii="Times New Roman" w:hAnsi="Times New Roman"/>
          <w:b w:val="false"/>
          <w:i w:val="false"/>
          <w:caps w:val="false"/>
          <w:smallCaps w:val="false"/>
          <w:strike w:val="false"/>
          <w:dstrike w:val="false"/>
          <w:shadow w:val="false"/>
          <w:color w:val="000000"/>
          <w:spacing w:val="0"/>
          <w:sz w:val="28"/>
          <w:u w:val="none"/>
        </w:rPr>
        <w:t>а общую сумму более 31,8 млн рублей</w:t>
      </w:r>
      <w:r>
        <w:rPr>
          <w:rFonts w:ascii="Times New Roman" w:hAnsi="Times New Roman"/>
          <w:b w:val="false"/>
          <w:i w:val="false"/>
          <w:caps w:val="false"/>
          <w:smallCaps w:val="false"/>
          <w:strike w:val="false"/>
          <w:dstrike w:val="false"/>
          <w:shadow w:val="false"/>
          <w:color w:val="000000"/>
          <w:sz w:val="28"/>
          <w:u w:val="none"/>
        </w:rPr>
        <w:t xml:space="preserve">. </w:t>
      </w:r>
      <w:r>
        <w:rPr>
          <w:rFonts w:ascii="Times New Roman" w:hAnsi="Times New Roman"/>
          <w:b w:val="false"/>
          <w:i w:val="false"/>
          <w:caps w:val="false"/>
          <w:smallCaps w:val="false"/>
          <w:strike w:val="false"/>
          <w:dstrike w:val="false"/>
          <w:shadow w:val="false"/>
          <w:color w:val="000000"/>
          <w:sz w:val="28"/>
          <w:u w:val="none"/>
        </w:rPr>
        <w:t>Щ</w:t>
      </w:r>
      <w:r>
        <w:rPr>
          <w:rFonts w:ascii="Times New Roman" w:hAnsi="Times New Roman"/>
          <w:b w:val="false"/>
          <w:i w:val="false"/>
          <w:caps w:val="false"/>
          <w:smallCaps w:val="false"/>
          <w:strike w:val="false"/>
          <w:dstrike w:val="false"/>
          <w:shadow w:val="false"/>
          <w:color w:val="000000"/>
          <w:sz w:val="28"/>
          <w:u w:val="none"/>
        </w:rPr>
        <w:t xml:space="preserve">ебень закупался заказчикам в целях обеспечения исполнения работ по государственному контракту. Суды признали такие действия нарушением части 1 статьи 17 Закона № 135-ФЗ, так как выбор неконкурентного способа закупки не был обоснован объективными причинами и противоречил принципам закупочной деятельности.  Данные сделки, формально не превышавшие установленный лимит в 800 000 рублей, фактически являлись единой сделкой. Целью такого дробления было уклонение от проведения обязательных конкурентных процедур, предусмотренных Законом № 223-ФЗ. Заказчик не доказал экономическую целесообразность отказа от проведения торгов. </w:t>
      </w:r>
      <w:r>
        <w:rPr>
          <w:rFonts w:ascii="Times New Roman" w:hAnsi="Times New Roman"/>
          <w:b w:val="false"/>
          <w:i w:val="false"/>
          <w:caps w:val="false"/>
          <w:smallCaps w:val="false"/>
          <w:strike w:val="false"/>
          <w:dstrike w:val="false"/>
          <w:shadow w:val="false"/>
          <w:color w:val="000000"/>
          <w:spacing w:val="0"/>
          <w:sz w:val="28"/>
          <w:u w:val="none"/>
        </w:rPr>
        <w:t xml:space="preserve">Суды всех инстанций подтвердили обоснованность выводов антимонопольного органа. </w:t>
      </w:r>
    </w:p>
    <w:p>
      <w:pPr>
        <w:pStyle w:val="Normal"/>
        <w:widowControl/>
        <w:spacing w:lineRule="auto" w:line="240" w:before="0" w:after="0"/>
        <w:ind w:firstLine="709" w:left="0" w:right="0"/>
        <w:jc w:val="both"/>
        <w:rPr/>
      </w:pPr>
      <w:r>
        <w:rPr>
          <w:rFonts w:ascii="Times New Roman" w:hAnsi="Times New Roman"/>
          <w:i/>
          <w:color w:val="000000"/>
          <w:sz w:val="28"/>
        </w:rPr>
        <w:t xml:space="preserve">Определение Верховного Суда РФ от 22 ноября 2024 г. № 301-ЭС24-10122 по делу № А38-717/2023. </w:t>
      </w:r>
      <w:r>
        <w:rPr>
          <w:rFonts w:ascii="Times New Roman" w:hAnsi="Times New Roman"/>
          <w:color w:val="000000"/>
          <w:sz w:val="28"/>
        </w:rPr>
        <w:t xml:space="preserve">В соответствии с делом муниципальная управляющая компания заключила более 600 договоров на мелкие суммы (до 100 тыс. рублей) на общую сумму </w:t>
      </w:r>
      <w:r>
        <w:rPr>
          <w:rFonts w:ascii="Times New Roman" w:hAnsi="Times New Roman"/>
          <w:b w:val="false"/>
          <w:i w:val="false"/>
          <w:caps w:val="false"/>
          <w:smallCaps w:val="false"/>
          <w:color w:val="000000"/>
          <w:spacing w:val="0"/>
          <w:sz w:val="28"/>
        </w:rPr>
        <w:t>14 076 354 рубля </w:t>
      </w:r>
      <w:r>
        <w:rPr>
          <w:rFonts w:ascii="Times New Roman" w:hAnsi="Times New Roman"/>
          <w:color w:val="000000"/>
          <w:sz w:val="28"/>
        </w:rPr>
        <w:t>с единственными поставщиками б</w:t>
      </w:r>
      <w:r>
        <w:rPr>
          <w:rFonts w:ascii="Times New Roman" w:hAnsi="Times New Roman"/>
          <w:sz w:val="28"/>
        </w:rPr>
        <w:t>ез проведения конкурентных процедур. Антимонопольный орган усмотрел нарушение части 4 статьи 11 Закона №</w:t>
      </w:r>
      <w:r>
        <w:rPr>
          <w:rFonts w:ascii="Times New Roman" w:hAnsi="Times New Roman"/>
          <w:b w:val="false"/>
          <w:i w:val="false"/>
          <w:caps w:val="false"/>
          <w:smallCaps w:val="false"/>
          <w:strike w:val="false"/>
          <w:dstrike w:val="false"/>
          <w:spacing w:val="0"/>
          <w:sz w:val="28"/>
          <w:u w:val="none"/>
        </w:rPr>
        <w:t> </w:t>
      </w:r>
      <w:r>
        <w:rPr>
          <w:rFonts w:ascii="Times New Roman" w:hAnsi="Times New Roman"/>
          <w:sz w:val="28"/>
        </w:rPr>
        <w:t>135</w:t>
      </w:r>
      <w:r>
        <w:rPr>
          <w:rFonts w:ascii="Times New Roman" w:hAnsi="Times New Roman"/>
          <w:b w:val="false"/>
          <w:i w:val="false"/>
          <w:caps w:val="false"/>
          <w:smallCaps w:val="false"/>
          <w:strike w:val="false"/>
          <w:dstrike w:val="false"/>
          <w:spacing w:val="0"/>
          <w:sz w:val="28"/>
          <w:u w:val="none"/>
        </w:rPr>
        <w:t>-</w:t>
      </w:r>
      <w:r>
        <w:rPr>
          <w:rFonts w:ascii="Times New Roman" w:hAnsi="Times New Roman"/>
          <w:sz w:val="28"/>
        </w:rPr>
        <w:t>ФЗ (антиконкурентное соглашение). Суды трех инстанций признали решение ФАС незаконным. Верховный Суд РФ отменил эти акты, указав:</w:t>
      </w:r>
    </w:p>
    <w:p>
      <w:pPr>
        <w:pStyle w:val="Normal"/>
        <w:widowControl/>
        <w:ind w:firstLine="709" w:left="0" w:right="0"/>
        <w:jc w:val="both"/>
        <w:rPr>
          <w:rFonts w:ascii="Times New Roman" w:hAnsi="Times New Roman"/>
          <w:sz w:val="28"/>
        </w:rPr>
      </w:pPr>
      <w:r>
        <w:rPr>
          <w:rFonts w:ascii="Times New Roman" w:hAnsi="Times New Roman"/>
          <w:sz w:val="28"/>
        </w:rPr>
        <w:t>неоднократное заключение договоров, даже формально подпадающих под условия положения о закупке, в совокупности представляет собой единую сделку, искусственно раздробленную на части и оформленную самостоятельными договорами;</w:t>
      </w:r>
    </w:p>
    <w:p>
      <w:pPr>
        <w:pStyle w:val="Normal"/>
        <w:widowControl/>
        <w:ind w:firstLine="709" w:left="0" w:right="0"/>
        <w:jc w:val="both"/>
        <w:rPr>
          <w:rFonts w:ascii="Times New Roman" w:hAnsi="Times New Roman"/>
          <w:sz w:val="28"/>
        </w:rPr>
      </w:pPr>
      <w:r>
        <w:rPr>
          <w:rFonts w:ascii="Times New Roman" w:hAnsi="Times New Roman"/>
          <w:sz w:val="28"/>
        </w:rPr>
        <w:t>закупки у единственного поставщика допустимы только в исключительных случаях при наличии веских причин;</w:t>
      </w:r>
    </w:p>
    <w:p>
      <w:pPr>
        <w:pStyle w:val="Normal"/>
        <w:widowControl/>
        <w:ind w:firstLine="709" w:left="0" w:right="0"/>
        <w:jc w:val="both"/>
        <w:rPr>
          <w:rFonts w:ascii="Times New Roman" w:hAnsi="Times New Roman"/>
          <w:sz w:val="28"/>
        </w:rPr>
      </w:pPr>
      <w:r>
        <w:rPr>
          <w:rFonts w:ascii="Times New Roman" w:hAnsi="Times New Roman"/>
          <w:sz w:val="28"/>
        </w:rPr>
        <w:t xml:space="preserve">дробление единой потребности на множество мелких договоров с целью обхода </w:t>
      </w:r>
      <w:r>
        <w:rPr>
          <w:rFonts w:ascii="Times New Roman" w:hAnsi="Times New Roman"/>
          <w:sz w:val="28"/>
        </w:rPr>
        <w:t>конкурентных</w:t>
      </w:r>
      <w:r>
        <w:rPr>
          <w:rFonts w:ascii="Times New Roman" w:hAnsi="Times New Roman"/>
          <w:sz w:val="28"/>
        </w:rPr>
        <w:t xml:space="preserve"> процедур не отвечает целям и принципам Закона № 223-ФЗ (часть 1 статьи 1, часть 1 статьи 3 Закона № 223-ФЗ);</w:t>
      </w:r>
    </w:p>
    <w:p>
      <w:pPr>
        <w:pStyle w:val="Normal"/>
        <w:widowControl/>
        <w:ind w:firstLine="709" w:left="0" w:right="0"/>
        <w:jc w:val="both"/>
        <w:rPr>
          <w:rFonts w:ascii="Times New Roman" w:hAnsi="Times New Roman"/>
          <w:sz w:val="28"/>
        </w:rPr>
      </w:pPr>
      <w:r>
        <w:rPr>
          <w:rFonts w:ascii="Times New Roman" w:hAnsi="Times New Roman"/>
          <w:sz w:val="28"/>
        </w:rPr>
        <w:t>такие действия предоставляют преимущественные условия конкретным хозяйствующим субъектам, ограничивают конкуренцию и приводят к неэффективному расходованию средств.</w:t>
      </w:r>
    </w:p>
    <w:p>
      <w:pPr>
        <w:pStyle w:val="Normal"/>
        <w:widowControl/>
        <w:ind w:firstLine="709" w:left="0" w:right="0"/>
        <w:jc w:val="both"/>
        <w:rPr>
          <w:rFonts w:ascii="Times New Roman" w:hAnsi="Times New Roman"/>
          <w:sz w:val="28"/>
        </w:rPr>
      </w:pPr>
      <w:r>
        <w:rPr>
          <w:rFonts w:ascii="Times New Roman" w:hAnsi="Times New Roman"/>
          <w:sz w:val="28"/>
        </w:rPr>
        <w:t>Таким образом, систематическое дробление закупок может быть квалифицировано не просто как нарушение процедуры, а как антиконкурентное соглашение (часть 4 статьи 11 Закона № 135-ФЗ) с соответствующими административными последствиями.</w:t>
      </w:r>
    </w:p>
    <w:p>
      <w:pPr>
        <w:pStyle w:val="Normal"/>
        <w:widowControl/>
        <w:ind w:firstLine="709" w:left="0" w:right="0"/>
        <w:jc w:val="both"/>
        <w:rPr>
          <w:rFonts w:ascii="Times New Roman" w:hAnsi="Times New Roman"/>
          <w:sz w:val="28"/>
        </w:rPr>
      </w:pPr>
      <w:r>
        <w:rPr>
          <w:rFonts w:ascii="Times New Roman" w:hAnsi="Times New Roman"/>
          <w:sz w:val="28"/>
        </w:rPr>
        <w:t>Примеры.</w:t>
      </w:r>
    </w:p>
    <w:p>
      <w:pPr>
        <w:pStyle w:val="Normal"/>
        <w:widowControl/>
        <w:ind w:firstLine="709" w:left="0" w:right="0"/>
        <w:jc w:val="both"/>
        <w:rPr/>
      </w:pPr>
      <w:r>
        <w:rPr>
          <w:rFonts w:ascii="Times New Roman" w:hAnsi="Times New Roman"/>
          <w:i/>
          <w:sz w:val="28"/>
        </w:rPr>
        <w:t xml:space="preserve">Определение Верховного Суда РФ от 16 июля 2025 г. № 306-ЭС25-6714 по делу № А57-8276/2024. </w:t>
      </w:r>
      <w:r>
        <w:rPr>
          <w:rFonts w:ascii="Times New Roman" w:hAnsi="Times New Roman"/>
          <w:sz w:val="28"/>
        </w:rPr>
        <w:t xml:space="preserve">Энгельсский дом-интернат для престарелых и инвалидов заключил с индивидуальным предпринимателем более 30 договоров на поставку говядины на общую сумму свыше 11,8 млн рублей. Формально каждый контракт не превышал 600 тыс. рублей, что позволяло избежать конкурентную закупку. Дополнительным обстоятельством стал неурегулированный конфликт интересов – поставщик оказался родственником директора учреждения. Суды апелляционной и кассационной инстанций признали договоры недействительными (ничтожными), а предпринимателя обязали вернуть полученные средства заказчику. Так как все договоры направлены на достижение единой хозяйственной цели — обеспечение учреждения мясом и образуют единую сделку, искусственно раздробленную для формального соблюдения лимита 600 000 руб. и обхода конкурентных процедур, выявлен конфликт интересов Верховный Суд не нашел оснований для пересмотра дела. </w:t>
      </w:r>
    </w:p>
    <w:p>
      <w:pPr>
        <w:pStyle w:val="Normal"/>
        <w:widowControl/>
        <w:spacing w:lineRule="auto" w:line="240"/>
        <w:ind w:firstLine="709" w:left="0" w:right="0"/>
        <w:jc w:val="both"/>
        <w:rPr>
          <w:rFonts w:ascii="Times New Roman" w:hAnsi="Times New Roman"/>
          <w:color w:val="000000"/>
          <w:spacing w:val="0"/>
          <w:sz w:val="28"/>
        </w:rPr>
      </w:pPr>
      <w:r>
        <w:rPr>
          <w:rFonts w:ascii="Times New Roman" w:hAnsi="Times New Roman"/>
          <w:i/>
          <w:color w:val="000000"/>
          <w:spacing w:val="0"/>
          <w:sz w:val="28"/>
        </w:rPr>
        <w:t>Постановление Арбитражного суда Уральского округа от 28 августа 2026 г. № Ф09-2466/26 по делу № А71-12152/2025.</w:t>
      </w:r>
      <w:r>
        <w:rPr>
          <w:rFonts w:ascii="Times New Roman" w:hAnsi="Times New Roman"/>
          <w:color w:val="000000"/>
          <w:spacing w:val="0"/>
          <w:sz w:val="28"/>
        </w:rPr>
        <w:t xml:space="preserve"> Прокуратура обратилась в суд c требованиями:</w:t>
      </w:r>
    </w:p>
    <w:p>
      <w:pPr>
        <w:pStyle w:val="Normal"/>
        <w:widowControl/>
        <w:spacing w:lineRule="auto" w:line="240"/>
        <w:ind w:firstLine="709" w:left="0" w:right="0"/>
        <w:jc w:val="both"/>
        <w:rPr>
          <w:rFonts w:ascii="Times New Roman" w:hAnsi="Times New Roman"/>
          <w:color w:val="000000"/>
          <w:spacing w:val="0"/>
          <w:sz w:val="28"/>
        </w:rPr>
      </w:pPr>
      <w:r>
        <w:rPr>
          <w:rFonts w:ascii="Times New Roman" w:hAnsi="Times New Roman"/>
          <w:color w:val="000000"/>
          <w:spacing w:val="0"/>
          <w:sz w:val="28"/>
        </w:rPr>
        <w:t>о признании недействительными (ничтожными) сделок, оформленных семью договорами на поставку мебели, заключенными между заказчиком и поставщиком;</w:t>
      </w:r>
    </w:p>
    <w:p>
      <w:pPr>
        <w:pStyle w:val="Normal"/>
        <w:widowControl/>
        <w:spacing w:lineRule="auto" w:line="240"/>
        <w:ind w:firstLine="709" w:left="0" w:right="0"/>
        <w:jc w:val="both"/>
        <w:rPr>
          <w:rFonts w:ascii="Times New Roman" w:hAnsi="Times New Roman"/>
          <w:color w:val="000000"/>
          <w:spacing w:val="0"/>
          <w:sz w:val="28"/>
        </w:rPr>
      </w:pPr>
      <w:r>
        <w:rPr>
          <w:rFonts w:ascii="Times New Roman" w:hAnsi="Times New Roman"/>
          <w:color w:val="000000"/>
          <w:spacing w:val="0"/>
          <w:sz w:val="28"/>
        </w:rPr>
        <w:t>о применении последствий недействительности (ничтожности) сделок, обязав заказчика вернуть поставщику мебель, а поставщику возвратить заказчику денежные средства в размере 3 363 796 рублей.</w:t>
      </w:r>
    </w:p>
    <w:p>
      <w:pPr>
        <w:pStyle w:val="Normal"/>
        <w:widowControl/>
        <w:spacing w:lineRule="auto" w:line="240"/>
        <w:ind w:firstLine="709" w:left="0" w:right="0"/>
        <w:jc w:val="both"/>
        <w:rPr>
          <w:rFonts w:ascii="Times New Roman" w:hAnsi="Times New Roman"/>
          <w:color w:val="000000"/>
          <w:spacing w:val="0"/>
          <w:sz w:val="28"/>
        </w:rPr>
      </w:pPr>
      <w:r>
        <w:rPr>
          <w:rFonts w:ascii="Times New Roman" w:hAnsi="Times New Roman"/>
          <w:color w:val="000000"/>
          <w:spacing w:val="0"/>
          <w:sz w:val="28"/>
        </w:rPr>
        <w:t>Суды установили, что закупка мебели в рамках спорных договоров осуществлялась учреждением в целях соблюдения сроков подготовки спортивного комплекса к проведению 6 этапа Кубка России по лыжным гонкам. Сопоставление даты проведения мероприятия – 24-26 января 2025 г. и даты заключения договоров – 19 ноября 2024 г. позволило судам сделать вывод о возможности заказчика заблаговременно провести  конкурентную закупку. Согласно решению суда, учреждение искусственно раздробило единую сделку на несколько договоров, чтобы избежать проведения обязательных конкурентных процедур. Данные действия были квалифицированы как недобросовестное поведение, направленное на обход закона и нарушение принципов контрактной системы. В результате сделки признаны ничтожными, а требования прокуратуры – обоснованными. </w:t>
      </w:r>
    </w:p>
    <w:p>
      <w:pPr>
        <w:pStyle w:val="Normal"/>
        <w:widowControl/>
        <w:ind w:firstLine="709" w:left="0" w:right="0"/>
        <w:jc w:val="both"/>
        <w:rPr>
          <w:rFonts w:ascii="Times New Roman" w:hAnsi="Times New Roman"/>
          <w:sz w:val="28"/>
        </w:rPr>
      </w:pPr>
      <w:r>
        <w:rPr>
          <w:rFonts w:ascii="Times New Roman" w:hAnsi="Times New Roman"/>
          <w:sz w:val="28"/>
        </w:rPr>
        <w:t xml:space="preserve">В пункте 12 Обзора судебной практики, связанной с привлечением к административной ответственности за нарушения антимонопольного законодательства (утв. Президиумом Верховного Суда Российской Федерации 25 апреля 2025 г.), Верховный Суд РФ сформулировал следующую позицию: искусственное дробление заказчиком единой сделки с целью непроведения конкурентных торговых процедур может являться нарушением законодательства в сфере закупок, но само по себе не свидетельствует о наличии между сторонами антиконкурентного соглашения и состава административного правонарушения, предусмотренного частью 7 статьи 14.32 КоАП РФ. Для привлечения к ответственности по части 7 статьи 14.32 КоАП РФ антимонопольный орган обязан доказать не только факт дробления, но и наличие согласованных виновных действий между заказчиком и поставщиком исполнителем подрядчиком. Поставщик, получая новые заказы в рамках дробления, может полагать, что они обусловлены объективной необходимостью приобретения дополнительного товара, и не знать о целях заказчика по обходу конкурентных процедур. </w:t>
      </w:r>
      <w:r>
        <w:rPr>
          <w:rFonts w:ascii="Times New Roman" w:hAnsi="Times New Roman"/>
          <w:color w:val="000000"/>
          <w:spacing w:val="0"/>
          <w:sz w:val="28"/>
        </w:rPr>
        <w:t xml:space="preserve">В случаях установления факта заключения сторонами ограничивающего конкуренцию соглашения </w:t>
      </w:r>
      <w:r>
        <w:rPr>
          <w:rFonts w:ascii="Times New Roman" w:hAnsi="Times New Roman"/>
          <w:b w:val="false"/>
          <w:sz w:val="28"/>
        </w:rPr>
        <w:t>антимонопольный орган признает заказчика и поставщика (подрядчика, исполнителя) виновными в совершении административного правонарушения, предусмотренного статьей 14.32 КоАП РФ, и назначает административное наказание в виде административного штрафа.</w:t>
      </w:r>
    </w:p>
    <w:p>
      <w:pPr>
        <w:pStyle w:val="Normal"/>
        <w:widowControl/>
        <w:ind w:firstLine="709" w:left="0" w:right="0"/>
        <w:jc w:val="both"/>
        <w:rPr>
          <w:rFonts w:ascii="Times New Roman" w:hAnsi="Times New Roman"/>
          <w:b w:val="false"/>
          <w:sz w:val="28"/>
        </w:rPr>
      </w:pPr>
      <w:r>
        <w:rPr>
          <w:rFonts w:ascii="Times New Roman" w:hAnsi="Times New Roman"/>
          <w:b w:val="false"/>
          <w:sz w:val="28"/>
        </w:rPr>
        <w:t>Применение последствий недействительности сделки не является автоматическим. В соответствии с решением Арбитражного суда Кировской области от 07.10.2025 по делу № А28-5184/2025 суд признал два договора на установку окон ничтожными из-за дробления, но отказал в применении реституции. Работы были выполнены и приняты без замечаний, результат имеет потребительскую ценность, а доказательства сговора и недобросовестности подрядчика отсутствовали. Суд указал, что само по себе нарушение законодательства не означает недобросовестность контрагента.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Таким образом, признаки искусственного дробления единой закупки определяются судами с учетом конкретных обстоятельств. Суды обращают внимание на совокупность следующих признаков, когда дробление может быть признано незаконным:</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однородность предмета договоров (одинаковые работы, товары, услуги);</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одинаковый срок выполнения работ;</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единовременность заключения договоров (договоры подписаны в один день или в пределах короткого периода);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единая хозяйственная цель (например, строительство одного объекта);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отсутствие объективной необходимости проводить несколько закупок с однородным предметом договора либо имеющими единую хозяйственную цель (невозможность обосновать срочность, технологические перерывы или сезонность);</w:t>
      </w:r>
    </w:p>
    <w:p>
      <w:pPr>
        <w:pStyle w:val="Normal"/>
        <w:widowControl/>
        <w:spacing w:lineRule="auto" w:line="240"/>
        <w:ind w:firstLine="709" w:left="0" w:right="0"/>
        <w:jc w:val="both"/>
        <w:rPr>
          <w:rFonts w:ascii="Times New Roman" w:hAnsi="Times New Roman"/>
          <w:sz w:val="28"/>
        </w:rPr>
      </w:pPr>
      <w:r>
        <w:rPr>
          <w:rFonts w:ascii="Times New Roman" w:hAnsi="Times New Roman"/>
          <w:color w:val="000000"/>
          <w:spacing w:val="0"/>
          <w:sz w:val="28"/>
        </w:rPr>
        <w:t>превышение лимита  (сумма раздробленных договоров в совокупности превышает порог, при котором обязательна конкурентная процедура).</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Говоря об административной ответственности, стоит обратить внимание на следующий принципиальный момент. Статья 17 Закона № 135-ФЗ не является статьей об административной ответственности. Это материальная антимонопольная норма. Ответственность за соответствующее нарушение возникает в соответствии с КоАП РФ, если установлен соответствующий состав. Аналогично статья 3 Закона № 223-ФЗ устанавливает правила закупки, но не является статьей КоАП РФ. Административная ответственность должна иметь конкретную статью и состав в КоАП РФ.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Срок исковой давности для административных правонарушений регламентируется статьей 4.5 КоАП РФ. Если по делу не было приостановок, для статей 7.30.4 и 14.32 КоАП РФ применяется годичный срок давности, прямо предусмотренный частью 1 статьи 4.5 КоАП РФ для нарушений законодательства о закупках отдельными видами юридических лиц и антимонопольного законодательства. Для статьи 19.5 КоАП РФ (в части неисполнения предписаний ФАС, то есть часть 7.2 статьи 19.5 КоАП РФ) также применяется  годичный срок давности. </w:t>
      </w:r>
    </w:p>
    <w:p>
      <w:pPr>
        <w:pStyle w:val="Normal"/>
        <w:widowControl/>
        <w:spacing w:lineRule="auto" w:line="240"/>
        <w:ind w:firstLine="709" w:left="0" w:right="0"/>
        <w:jc w:val="both"/>
        <w:rPr>
          <w:rFonts w:ascii="Times New Roman" w:hAnsi="Times New Roman"/>
          <w:sz w:val="28"/>
        </w:rPr>
      </w:pPr>
      <w:r>
        <w:rPr>
          <w:rFonts w:ascii="Times New Roman" w:hAnsi="Times New Roman"/>
          <w:b w:val="false"/>
          <w:sz w:val="28"/>
        </w:rPr>
        <w:t>Если в рамках дела о нарушении антимонопольного законодательства было возбуждено уголовное дело, срок давности приостанавливается до в</w:t>
      </w:r>
      <w:r>
        <w:rPr>
          <w:rFonts w:ascii="Times New Roman" w:hAnsi="Times New Roman"/>
          <w:sz w:val="28"/>
        </w:rPr>
        <w:t>ынесения решения по уголовному делу.</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 xml:space="preserve">Срок давности привлечения к административной ответственности исчисляется со дня совершения административного правонарушения (часть 1.1 статьи 4.5 КоАП РФ). При длящемся административном правонарушении срок исчисляется со дня обнаружения административного правонарушения (часть 2 статьи 4.5 КоАП РФ), по статье  14.32 КоАП РФ – со дня вступления в силу решения комиссии антимонопольного органа, которым установлен факт нарушения законодательства (часть 6 статьи 4.5 КоАП РФ).  </w:t>
      </w:r>
      <w:r>
        <w:rPr>
          <w:rFonts w:ascii="Times New Roman" w:hAnsi="Times New Roman"/>
          <w:b w:val="false"/>
          <w:i w:val="false"/>
          <w:caps w:val="false"/>
          <w:smallCaps w:val="false"/>
          <w:color w:val="0F1115"/>
          <w:spacing w:val="0"/>
          <w:sz w:val="28"/>
        </w:rPr>
        <w:t>Порядок исчисления срока давности, включая случаи совершения правонарушения в форме бездействия, разъяснен в пункте 14 Постановления Пленума Верховного Суда РФ от 24.03.2005 № 5.</w:t>
      </w:r>
    </w:p>
    <w:p>
      <w:pPr>
        <w:pStyle w:val="Normal"/>
        <w:widowControl/>
        <w:spacing w:lineRule="auto" w:line="240" w:before="0" w:after="0"/>
        <w:ind w:firstLine="709" w:left="0" w:right="0"/>
        <w:jc w:val="both"/>
        <w:rPr>
          <w:rFonts w:ascii="Times New Roman" w:hAnsi="Times New Roman"/>
          <w:sz w:val="24"/>
          <w:szCs w:val="24"/>
        </w:rPr>
      </w:pPr>
      <w:r>
        <w:rPr>
          <w:rFonts w:ascii="Times New Roman" w:hAnsi="Times New Roman"/>
          <w:sz w:val="24"/>
          <w:szCs w:val="24"/>
        </w:rPr>
      </w:r>
    </w:p>
    <w:p>
      <w:pPr>
        <w:pStyle w:val="Normal"/>
        <w:widowControl/>
        <w:spacing w:lineRule="auto" w:line="240" w:before="0" w:after="0"/>
        <w:ind w:firstLine="709" w:left="0" w:right="0"/>
        <w:jc w:val="center"/>
        <w:rPr>
          <w:rFonts w:ascii="Times New Roman" w:hAnsi="Times New Roman"/>
          <w:sz w:val="28"/>
        </w:rPr>
      </w:pPr>
      <w:r>
        <w:rPr>
          <w:rFonts w:ascii="Times New Roman" w:hAnsi="Times New Roman"/>
          <w:b/>
          <w:sz w:val="28"/>
        </w:rPr>
        <w:t>Уголовная ответственность</w:t>
      </w:r>
    </w:p>
    <w:p>
      <w:pPr>
        <w:pStyle w:val="Normal"/>
        <w:widowControl/>
        <w:spacing w:lineRule="auto" w:line="240" w:before="0" w:after="0"/>
        <w:ind w:hanging="0" w:left="0" w:right="0"/>
        <w:jc w:val="center"/>
        <w:rPr>
          <w:rFonts w:ascii="Times New Roman" w:hAnsi="Times New Roman"/>
          <w:sz w:val="24"/>
          <w:szCs w:val="24"/>
        </w:rPr>
      </w:pPr>
      <w:r>
        <w:rPr>
          <w:rFonts w:ascii="Times New Roman" w:hAnsi="Times New Roman"/>
          <w:sz w:val="24"/>
          <w:szCs w:val="24"/>
        </w:rPr>
      </w:r>
    </w:p>
    <w:p>
      <w:pPr>
        <w:pStyle w:val="Normal"/>
        <w:widowControl/>
        <w:spacing w:lineRule="auto" w:line="240" w:before="0" w:after="0"/>
        <w:ind w:firstLine="709" w:left="0" w:right="0"/>
        <w:jc w:val="both"/>
        <w:rPr/>
      </w:pPr>
      <w:r>
        <w:rPr>
          <w:rFonts w:ascii="Times New Roman" w:hAnsi="Times New Roman"/>
          <w:b w:val="false"/>
          <w:i w:val="false"/>
          <w:caps w:val="false"/>
          <w:smallCaps w:val="false"/>
          <w:strike w:val="false"/>
          <w:dstrike w:val="false"/>
          <w:shadow w:val="false"/>
          <w:color w:val="000000"/>
          <w:sz w:val="28"/>
          <w:u w:val="none"/>
        </w:rPr>
        <w:t>Специальной ста</w:t>
      </w:r>
      <w:r>
        <w:rPr>
          <w:rFonts w:ascii="Times New Roman" w:hAnsi="Times New Roman"/>
          <w:b w:val="false"/>
          <w:sz w:val="28"/>
        </w:rPr>
        <w:t>тьи за неправомерную закупку у единственного поставщика по Закону № 223-ФЗ в УК РФ нет. Уголовная ответственность может наступить только через общие составы.</w:t>
      </w:r>
    </w:p>
    <w:p>
      <w:pPr>
        <w:pStyle w:val="Normal"/>
        <w:widowControl/>
        <w:spacing w:lineRule="auto" w:line="240" w:before="0" w:after="0"/>
        <w:ind w:firstLine="709" w:left="0" w:right="0"/>
        <w:jc w:val="both"/>
        <w:rPr/>
      </w:pPr>
      <w:r>
        <w:rPr>
          <w:rFonts w:ascii="Times New Roman" w:hAnsi="Times New Roman"/>
          <w:b w:val="false"/>
          <w:sz w:val="28"/>
        </w:rPr>
        <w:t>Примеры.</w:t>
      </w:r>
    </w:p>
    <w:p>
      <w:pPr>
        <w:pStyle w:val="Normal"/>
        <w:spacing w:lineRule="auto" w:line="240"/>
        <w:ind w:firstLine="709" w:left="0" w:right="0"/>
        <w:jc w:val="both"/>
        <w:rPr>
          <w:rFonts w:ascii="Times New Roman" w:hAnsi="Times New Roman"/>
          <w:sz w:val="28"/>
        </w:rPr>
      </w:pPr>
      <w:r>
        <w:rPr>
          <w:rFonts w:ascii="Times New Roman" w:hAnsi="Times New Roman"/>
          <w:i/>
          <w:iCs/>
          <w:sz w:val="28"/>
        </w:rPr>
        <w:t>Постановление Арбитражного суда Северо-Кавказского округа от 19.03.2019 г. по делу № А53-33208/2017</w:t>
      </w:r>
      <w:r>
        <w:rPr>
          <w:rFonts w:ascii="Times New Roman" w:hAnsi="Times New Roman"/>
          <w:sz w:val="28"/>
        </w:rPr>
        <w:t xml:space="preserve">. Заказчик и поставщик заключили 8 договоров на оценку имущества на 40 млн руб., 6 из них – в один день на сумму порядка 35 млн руб. у единственного поставщика. Суды признали искусственное дробление единой сделки  для формального соблюдения ограничения закупки у единственного поставщика и уклонения от конкурентных процедур. Вина заказчика </w:t>
      </w:r>
      <w:r>
        <w:rPr>
          <w:rFonts w:ascii="Times New Roman" w:hAnsi="Times New Roman"/>
          <w:sz w:val="28"/>
        </w:rPr>
        <w:t>заключалась в</w:t>
      </w:r>
      <w:r>
        <w:rPr>
          <w:rFonts w:ascii="Times New Roman" w:hAnsi="Times New Roman"/>
          <w:sz w:val="28"/>
        </w:rPr>
        <w:t xml:space="preserve"> нарушени</w:t>
      </w:r>
      <w:r>
        <w:rPr>
          <w:rFonts w:ascii="Times New Roman" w:hAnsi="Times New Roman"/>
          <w:sz w:val="28"/>
        </w:rPr>
        <w:t>и</w:t>
      </w:r>
      <w:r>
        <w:rPr>
          <w:rFonts w:ascii="Times New Roman" w:hAnsi="Times New Roman"/>
          <w:sz w:val="28"/>
        </w:rPr>
        <w:t xml:space="preserve"> положения о закупках и принципов Закона № 223-ФЗ. Бывший руководитель Единой комиссии осужден по </w:t>
      </w:r>
      <w:r>
        <w:rPr>
          <w:rFonts w:ascii="Times New Roman" w:hAnsi="Times New Roman"/>
          <w:b/>
          <w:bCs/>
          <w:i w:val="false"/>
          <w:iCs w:val="false"/>
          <w:sz w:val="28"/>
        </w:rPr>
        <w:t>части 3 статьи 285 «Злоупотребление должностными полномочиями» УК РФ</w:t>
      </w:r>
      <w:r>
        <w:rPr>
          <w:rFonts w:ascii="Times New Roman" w:hAnsi="Times New Roman"/>
          <w:sz w:val="28"/>
        </w:rPr>
        <w:t xml:space="preserve"> за заключение 7 договоров с единственным поставщиком с искусственным разделением предмета оценки. Договоры признаны ничтожными. Вывод суда: дробление единой закупки для обхода пороговых ограничений влечет ничтожность договоров и возврат полученного, а для должностных лиц заказчика – уголовную ответственность по статье 285 УК РФ (злоупотребление должностными полномочиями).</w:t>
      </w:r>
    </w:p>
    <w:p>
      <w:pPr>
        <w:pStyle w:val="Normal"/>
        <w:spacing w:lineRule="auto" w:line="240"/>
        <w:ind w:firstLine="709" w:left="0" w:right="0"/>
        <w:jc w:val="both"/>
        <w:rPr/>
      </w:pPr>
      <w:r>
        <w:rPr>
          <w:rFonts w:ascii="Times New Roman" w:hAnsi="Times New Roman"/>
          <w:i/>
          <w:iCs/>
          <w:sz w:val="28"/>
        </w:rPr>
        <w:t>Приговор Киселевского городского суда Кемеровской области от 27.01.2026 по делу № 1-43/2026.</w:t>
      </w:r>
      <w:r>
        <w:rPr>
          <w:rFonts w:ascii="Times New Roman" w:hAnsi="Times New Roman"/>
          <w:sz w:val="28"/>
        </w:rPr>
        <w:t xml:space="preserve"> Суд признал бывшего главного врача виновным по двум эпизодам превышения должностных полномочий. Он заключал договоры аренды автомобилей с тестем без предварительного уведомления и согласования с учредителем больницы. Суд счёл, что эти действия нарушили порядок предотвращения конфликта интересов, ограничили конкуренцию и причинили учреждению материальный ущерб. При этом суд установил, что автомобили фактически использовались для нужд больницы. Вывод суда: заключение должностным лицом заказчика сделок с заинтересованностью без согласования с учредителем и в обход конкурентных процедур квалифицируется как превышение должностных полномочий (</w:t>
      </w:r>
      <w:r>
        <w:rPr>
          <w:rFonts w:ascii="Times New Roman" w:hAnsi="Times New Roman"/>
          <w:b/>
          <w:bCs/>
          <w:sz w:val="28"/>
        </w:rPr>
        <w:t xml:space="preserve">часть 1 статьи 286 </w:t>
      </w:r>
      <w:r>
        <w:rPr>
          <w:rFonts w:eastAsia="Tahoma" w:cs="Droid Sans" w:ascii="Times New Roman" w:hAnsi="Times New Roman"/>
          <w:b/>
          <w:bCs/>
          <w:i w:val="false"/>
          <w:caps w:val="false"/>
          <w:smallCaps w:val="false"/>
          <w:strike w:val="false"/>
          <w:dstrike w:val="false"/>
          <w:shadow w:val="false"/>
          <w:color w:val="000000"/>
          <w:spacing w:val="0"/>
          <w:kern w:val="0"/>
          <w:sz w:val="28"/>
          <w:szCs w:val="20"/>
          <w:u w:val="none"/>
          <w:lang w:val="ru-RU" w:eastAsia="zh-CN" w:bidi="hi-IN"/>
        </w:rPr>
        <w:t>«Превышение должностных полномочий»</w:t>
      </w:r>
      <w:r>
        <w:rPr>
          <w:rFonts w:ascii="Times New Roman" w:hAnsi="Times New Roman"/>
          <w:b w:val="false"/>
          <w:bCs/>
          <w:i/>
          <w:sz w:val="28"/>
        </w:rPr>
        <w:t xml:space="preserve"> </w:t>
      </w:r>
      <w:r>
        <w:rPr>
          <w:rFonts w:ascii="Times New Roman" w:hAnsi="Times New Roman"/>
          <w:b/>
          <w:bCs/>
          <w:sz w:val="28"/>
        </w:rPr>
        <w:t>УК РФ</w:t>
      </w:r>
      <w:r>
        <w:rPr>
          <w:rFonts w:ascii="Times New Roman" w:hAnsi="Times New Roman"/>
          <w:sz w:val="28"/>
        </w:rPr>
        <w:t>) и влечет штраф и полное возмещение ущерба; участие поставщика-свойственника в таких сделках влечет ничтожность договоров и возврат полученного, а при доказанности сговора и умысла – уголовную ответственность и для него.</w:t>
      </w:r>
    </w:p>
    <w:p>
      <w:pPr>
        <w:pStyle w:val="Normal"/>
        <w:widowControl/>
        <w:spacing w:lineRule="auto" w:line="240"/>
        <w:ind w:firstLine="709" w:left="0" w:right="0"/>
        <w:jc w:val="both"/>
        <w:rPr/>
      </w:pPr>
      <w:r>
        <w:rPr>
          <w:rFonts w:ascii="Times New Roman" w:hAnsi="Times New Roman"/>
          <w:b w:val="false"/>
          <w:sz w:val="28"/>
        </w:rPr>
        <w:t xml:space="preserve">К уголовной ответственности могут привлекать и по другим статьям УК РФ, например, </w:t>
      </w:r>
      <w:r>
        <w:rPr>
          <w:rFonts w:ascii="Times New Roman" w:hAnsi="Times New Roman"/>
          <w:b/>
          <w:bCs/>
          <w:i w:val="false"/>
          <w:iCs w:val="false"/>
          <w:sz w:val="28"/>
        </w:rPr>
        <w:t xml:space="preserve">статья 290 «Получение взятки» </w:t>
      </w:r>
      <w:r>
        <w:rPr>
          <w:rFonts w:ascii="Times New Roman" w:hAnsi="Times New Roman"/>
          <w:b/>
          <w:bCs/>
          <w:i w:val="false"/>
          <w:iCs w:val="false"/>
          <w:sz w:val="28"/>
        </w:rPr>
        <w:t>УК РФ</w:t>
      </w:r>
      <w:r>
        <w:rPr>
          <w:rFonts w:ascii="Times New Roman" w:hAnsi="Times New Roman"/>
          <w:b w:val="false"/>
          <w:i/>
          <w:sz w:val="28"/>
        </w:rPr>
        <w:t xml:space="preserve"> </w:t>
      </w:r>
      <w:r>
        <w:rPr>
          <w:rFonts w:ascii="Times New Roman" w:hAnsi="Times New Roman"/>
          <w:b w:val="false"/>
          <w:i w:val="false"/>
          <w:iCs w:val="false"/>
          <w:sz w:val="28"/>
        </w:rPr>
        <w:t>и др.</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Уголовная ответственность за неправомерную закупку у единственного поставщика по Закону 223-ФЗ наступает не за сам факт нарушения процедуры, а за последствия и мотивы: причинение существенного вреда без корысти, корыстная заинтересованность, хищение средств. Без ущерба, без корысти и без тяжких последствий — это административное правонарушение, а не преступление.</w:t>
      </w:r>
    </w:p>
    <w:p>
      <w:pPr>
        <w:pStyle w:val="Normal"/>
        <w:widowControl/>
        <w:spacing w:lineRule="auto" w:line="240"/>
        <w:ind w:firstLine="709" w:left="0" w:right="0"/>
        <w:jc w:val="both"/>
        <w:rPr>
          <w:rFonts w:ascii="Times New Roman" w:hAnsi="Times New Roman"/>
          <w:b w:val="false"/>
          <w:sz w:val="28"/>
          <w:szCs w:val="28"/>
        </w:rPr>
      </w:pPr>
      <w:r>
        <w:rPr>
          <w:rFonts w:ascii="Times New Roman" w:hAnsi="Times New Roman"/>
          <w:b w:val="false"/>
          <w:sz w:val="28"/>
          <w:szCs w:val="28"/>
        </w:rPr>
      </w:r>
    </w:p>
    <w:p>
      <w:pPr>
        <w:pStyle w:val="Normal"/>
        <w:widowControl/>
        <w:spacing w:lineRule="auto" w:line="240"/>
        <w:jc w:val="center"/>
        <w:rPr>
          <w:rFonts w:ascii="Times New Roman" w:hAnsi="Times New Roman"/>
          <w:b/>
          <w:sz w:val="28"/>
        </w:rPr>
      </w:pPr>
      <w:r>
        <w:rPr>
          <w:rFonts w:ascii="Times New Roman" w:hAnsi="Times New Roman"/>
          <w:b/>
          <w:sz w:val="28"/>
        </w:rPr>
        <w:t>4. ОБОСНОВАНИЕ ЦЕНЫ ДОГОВОРА</w:t>
      </w:r>
    </w:p>
    <w:p>
      <w:pPr>
        <w:pStyle w:val="Normal"/>
        <w:widowControl/>
        <w:spacing w:lineRule="auto" w:line="240"/>
        <w:jc w:val="cente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i w:val="false"/>
          <w:caps w:val="false"/>
          <w:smallCaps w:val="false"/>
          <w:color w:val="0F1115"/>
          <w:spacing w:val="0"/>
          <w:sz w:val="28"/>
          <w:szCs w:val="28"/>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8"/>
          <w:szCs w:val="28"/>
        </w:rPr>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должна быть обоснована одним из методов, предусмотренных положением о закупке. </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Расчет цены договора должен быть объективным, необходимо избегать избирательн</w:t>
      </w:r>
      <w:r>
        <w:rPr>
          <w:rFonts w:ascii="Times New Roman" w:hAnsi="Times New Roman"/>
          <w:sz w:val="28"/>
        </w:rPr>
        <w:t>ого</w:t>
      </w:r>
      <w:r>
        <w:rPr>
          <w:rFonts w:ascii="Times New Roman" w:hAnsi="Times New Roman"/>
          <w:sz w:val="28"/>
        </w:rPr>
        <w:t xml:space="preserve"> сбор</w:t>
      </w:r>
      <w:r>
        <w:rPr>
          <w:rFonts w:ascii="Times New Roman" w:hAnsi="Times New Roman"/>
          <w:sz w:val="28"/>
        </w:rPr>
        <w:t xml:space="preserve">а </w:t>
      </w:r>
      <w:r>
        <w:rPr>
          <w:rFonts w:ascii="Times New Roman" w:hAnsi="Times New Roman"/>
          <w:sz w:val="28"/>
        </w:rPr>
        <w:t>данных. Для  этого необходимо:</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в зависимости от выбранного метода рекомендуется использовать не менее трех источников ценовой информации. Количество источников, с учетом конкретного предмета закупки, должно обеспечивать возможность сделать обоснованный вывод о том, что цена на самом деле является рыночной;</w:t>
      </w:r>
    </w:p>
    <w:p>
      <w:pPr>
        <w:pStyle w:val="Normal"/>
        <w:widowControl/>
        <w:spacing w:lineRule="auto" w:line="240"/>
        <w:ind w:firstLine="709" w:left="0" w:right="0"/>
        <w:jc w:val="both"/>
        <w:rPr/>
      </w:pPr>
      <w:r>
        <w:rPr>
          <w:rFonts w:ascii="Times New Roman" w:hAnsi="Times New Roman"/>
          <w:sz w:val="28"/>
        </w:rPr>
        <w:t>использовать различные незави</w:t>
      </w:r>
      <w:r>
        <w:rPr>
          <w:rFonts w:ascii="Times New Roman" w:hAnsi="Times New Roman"/>
          <w:b w:val="false"/>
          <w:sz w:val="28"/>
        </w:rPr>
        <w:t>симые источники ценовой информации (коммерческие предложения, данные ЕИС, запросы ценовой информации, прайс-листы и др.);</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документально фиксировать все источники, включая те, которые не были приняты в расчет, с указанием причин отклонения;</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цена договора, заключаемого с единственным поставщиком, должна соответс</w:t>
      </w:r>
      <w:r>
        <w:rPr>
          <w:rFonts w:ascii="Times New Roman" w:hAnsi="Times New Roman"/>
          <w:b w:val="false"/>
          <w:i w:val="false"/>
          <w:caps w:val="false"/>
          <w:smallCaps w:val="false"/>
          <w:strike w:val="false"/>
          <w:dstrike w:val="false"/>
          <w:shadow w:val="false"/>
          <w:color w:val="000000"/>
          <w:spacing w:val="0"/>
          <w:sz w:val="28"/>
          <w:u w:val="none"/>
        </w:rPr>
        <w:t>твовать наименьшему ценовому предложению;</w:t>
      </w:r>
    </w:p>
    <w:p>
      <w:pPr>
        <w:pStyle w:val="Normal"/>
        <w:widowControl/>
        <w:spacing w:lineRule="auto" w:line="240"/>
        <w:ind w:firstLine="709" w:left="0" w:right="0"/>
        <w:jc w:val="both"/>
        <w:rPr/>
      </w:pPr>
      <w:r>
        <w:rPr>
          <w:rFonts w:ascii="Times New Roman" w:hAnsi="Times New Roman"/>
          <w:b w:val="false"/>
          <w:sz w:val="28"/>
        </w:rPr>
        <w:t>формировать и хранить расчет и обоснование цены договора в виде отдельного документа (справка, расчет, протокол и т.п.), чтобы при проверке можно было подтвердить объективность.</w:t>
      </w:r>
    </w:p>
    <w:p>
      <w:pPr>
        <w:pStyle w:val="Normal"/>
        <w:widowControl/>
        <w:spacing w:lineRule="auto" w:line="240"/>
        <w:ind w:firstLine="709" w:left="0" w:right="0"/>
        <w:jc w:val="both"/>
        <w:rPr/>
      </w:pPr>
      <w:r>
        <w:rPr>
          <w:rFonts w:ascii="Times New Roman" w:hAnsi="Times New Roman"/>
          <w:sz w:val="28"/>
        </w:rPr>
        <w:t>Риски при</w:t>
      </w:r>
      <w:r>
        <w:rPr>
          <w:rFonts w:ascii="Times New Roman" w:hAnsi="Times New Roman"/>
          <w:b w:val="false"/>
          <w:sz w:val="28"/>
        </w:rPr>
        <w:t xml:space="preserve"> расчете цены договора:</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нарушение принципа экономической эффективности расходования средств — если цена завышена из-за одностороннего подбора данных, заказчик расходует деньги неэффективно;</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t>признание закупки необоснованной, недействительной — если будет доказано, что цена сформирована избирательно, это может стать дополнительным аргументом в пользу того, что закупка у единственного поставщика была проведена в обход конкурентных процедур, присутствовало антиконкурентное соглашение.</w:t>
      </w:r>
    </w:p>
    <w:p>
      <w:pPr>
        <w:pStyle w:val="Normal"/>
        <w:widowControl/>
        <w:spacing w:lineRule="auto" w:line="240"/>
        <w:ind w:firstLine="709" w:left="0" w:right="0"/>
        <w:jc w:val="both"/>
        <w:rPr>
          <w:rFonts w:ascii="Times New Roman" w:hAnsi="Times New Roman"/>
          <w:b w:val="false"/>
          <w:sz w:val="28"/>
        </w:rPr>
      </w:pPr>
      <w:r>
        <w:rPr>
          <w:rFonts w:ascii="Times New Roman" w:hAnsi="Times New Roman"/>
          <w:b w:val="false"/>
          <w:sz w:val="28"/>
        </w:rPr>
      </w:r>
    </w:p>
    <w:p>
      <w:pPr>
        <w:pStyle w:val="Normal"/>
        <w:widowControl/>
        <w:bidi w:val="0"/>
        <w:spacing w:lineRule="auto" w:line="240" w:before="0" w:after="0"/>
        <w:ind w:hanging="0" w:left="0" w:right="0"/>
        <w:jc w:val="center"/>
        <w:rPr>
          <w:rFonts w:ascii="Times New Roman" w:hAnsi="Times New Roman"/>
          <w:b/>
          <w:sz w:val="28"/>
        </w:rPr>
      </w:pPr>
      <w:r>
        <w:rPr>
          <w:rFonts w:ascii="Times New Roman" w:hAnsi="Times New Roman"/>
          <w:b/>
          <w:sz w:val="28"/>
        </w:rPr>
        <w:t>5. ПРЕДОСТАВЛЕНИЕ НАЦИОНАЛЬНОГО РЕЖИМА</w:t>
      </w:r>
    </w:p>
    <w:p>
      <w:pPr>
        <w:pStyle w:val="Normal"/>
        <w:widowControl/>
        <w:spacing w:lineRule="auto" w:line="240" w:before="0" w:after="0"/>
        <w:ind w:hanging="0" w:left="0" w:right="0"/>
        <w:jc w:val="both"/>
        <w:rPr>
          <w:rFonts w:ascii="Times New Roman" w:hAnsi="Times New Roman"/>
          <w:sz w:val="28"/>
          <w:szCs w:val="28"/>
        </w:rPr>
      </w:pPr>
      <w:r>
        <w:rPr>
          <w:rFonts w:ascii="Times New Roman" w:hAnsi="Times New Roman"/>
          <w:sz w:val="28"/>
          <w:szCs w:val="28"/>
        </w:rPr>
      </w:r>
    </w:p>
    <w:p>
      <w:pPr>
        <w:pStyle w:val="Normal"/>
        <w:spacing w:lineRule="auto" w:line="240"/>
        <w:ind w:firstLine="709" w:left="0" w:right="0"/>
        <w:jc w:val="both"/>
        <w:rPr/>
      </w:pPr>
      <w:r>
        <w:rPr>
          <w:rFonts w:ascii="Times New Roman" w:hAnsi="Times New Roman"/>
          <w:b w:val="false"/>
          <w:sz w:val="28"/>
        </w:rPr>
        <w:t>При осуществлении закупок у единственного поставщика заказчики обязаны предоставлять национальный режим в случаях, предусмотренных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w:t>
      </w:r>
      <w:r>
        <w:rPr>
          <w:rFonts w:ascii="Times New Roman" w:hAnsi="Times New Roman"/>
          <w:sz w:val="28"/>
        </w:rPr>
        <w:t xml:space="preserve">в, работ, услуг отдельными видами юридических лиц» (далее — Постановление № 1875). </w:t>
      </w:r>
    </w:p>
    <w:p>
      <w:pPr>
        <w:pStyle w:val="Normal"/>
        <w:spacing w:lineRule="auto" w:line="240"/>
        <w:ind w:firstLine="709" w:left="0" w:right="0"/>
        <w:jc w:val="both"/>
        <w:rPr>
          <w:rFonts w:ascii="Times New Roman" w:hAnsi="Times New Roman"/>
          <w:sz w:val="28"/>
        </w:rPr>
      </w:pPr>
      <w:r>
        <w:rPr>
          <w:rFonts w:ascii="Times New Roman" w:hAnsi="Times New Roman"/>
          <w:sz w:val="28"/>
        </w:rPr>
        <w:t>Конкретная мера национального режима применяется только при наличии предусмотренных законодательством условий.</w:t>
      </w:r>
    </w:p>
    <w:p>
      <w:pPr>
        <w:pStyle w:val="Normal"/>
        <w:spacing w:lineRule="auto" w:line="240"/>
        <w:ind w:firstLine="709" w:left="0" w:right="0"/>
        <w:jc w:val="both"/>
        <w:rPr>
          <w:rFonts w:ascii="Times New Roman" w:hAnsi="Times New Roman"/>
          <w:sz w:val="28"/>
        </w:rPr>
      </w:pPr>
      <w:r>
        <w:rPr>
          <w:rFonts w:ascii="Times New Roman" w:hAnsi="Times New Roman"/>
          <w:sz w:val="28"/>
        </w:rPr>
        <w:t>Поэтому перед заключением договора необходимо определить:</w:t>
      </w:r>
    </w:p>
    <w:p>
      <w:pPr>
        <w:pStyle w:val="Normal"/>
        <w:spacing w:lineRule="auto" w:line="240"/>
        <w:ind w:firstLine="709" w:left="0" w:right="0"/>
        <w:jc w:val="both"/>
        <w:rPr>
          <w:rFonts w:ascii="Times New Roman" w:hAnsi="Times New Roman"/>
          <w:sz w:val="28"/>
        </w:rPr>
      </w:pPr>
      <w:r>
        <w:rPr>
          <w:rFonts w:ascii="Times New Roman" w:hAnsi="Times New Roman"/>
          <w:sz w:val="28"/>
        </w:rPr>
        <w:t>входит ли объект закупки в соответствующий перечень;</w:t>
      </w:r>
    </w:p>
    <w:p>
      <w:pPr>
        <w:pStyle w:val="Normal"/>
        <w:spacing w:lineRule="auto" w:line="240"/>
        <w:ind w:firstLine="709" w:left="0" w:right="0"/>
        <w:jc w:val="both"/>
        <w:rPr>
          <w:rFonts w:ascii="Times New Roman" w:hAnsi="Times New Roman"/>
          <w:sz w:val="28"/>
        </w:rPr>
      </w:pPr>
      <w:r>
        <w:rPr>
          <w:rFonts w:ascii="Times New Roman" w:hAnsi="Times New Roman"/>
          <w:sz w:val="28"/>
        </w:rPr>
        <w:t>какая именно мера применяется;</w:t>
      </w:r>
    </w:p>
    <w:p>
      <w:pPr>
        <w:pStyle w:val="Normal"/>
        <w:spacing w:lineRule="auto" w:line="240"/>
        <w:ind w:firstLine="709" w:left="0" w:right="0"/>
        <w:jc w:val="both"/>
        <w:rPr>
          <w:rFonts w:ascii="Times New Roman" w:hAnsi="Times New Roman"/>
          <w:sz w:val="28"/>
        </w:rPr>
      </w:pPr>
      <w:r>
        <w:rPr>
          <w:rFonts w:ascii="Times New Roman" w:hAnsi="Times New Roman"/>
          <w:sz w:val="28"/>
        </w:rPr>
        <w:t>распространяется ли она на конкретный способ закупки;</w:t>
      </w:r>
    </w:p>
    <w:p>
      <w:pPr>
        <w:pStyle w:val="Normal"/>
        <w:spacing w:lineRule="auto" w:line="240"/>
        <w:ind w:firstLine="709" w:left="0" w:right="0"/>
        <w:jc w:val="both"/>
        <w:rPr>
          <w:rFonts w:ascii="Times New Roman" w:hAnsi="Times New Roman"/>
          <w:sz w:val="28"/>
        </w:rPr>
      </w:pPr>
      <w:r>
        <w:rPr>
          <w:rFonts w:ascii="Times New Roman" w:hAnsi="Times New Roman"/>
          <w:sz w:val="28"/>
        </w:rPr>
        <w:t>имеются ли предусмотренные Постановлением № 1875 исключения;</w:t>
      </w:r>
    </w:p>
    <w:p>
      <w:pPr>
        <w:pStyle w:val="Normal"/>
        <w:spacing w:lineRule="auto" w:line="240"/>
        <w:ind w:firstLine="709" w:left="0" w:right="0"/>
        <w:jc w:val="both"/>
        <w:rPr>
          <w:rFonts w:ascii="Times New Roman" w:hAnsi="Times New Roman"/>
          <w:sz w:val="28"/>
        </w:rPr>
      </w:pPr>
      <w:r>
        <w:rPr>
          <w:rFonts w:ascii="Times New Roman" w:hAnsi="Times New Roman"/>
          <w:sz w:val="28"/>
        </w:rPr>
        <w:t>какие документы подтверждают происхождение товара;</w:t>
      </w:r>
    </w:p>
    <w:p>
      <w:pPr>
        <w:pStyle w:val="Normal"/>
        <w:spacing w:lineRule="auto" w:line="240"/>
        <w:ind w:firstLine="709" w:left="0" w:right="0"/>
        <w:jc w:val="both"/>
        <w:rPr>
          <w:rFonts w:ascii="Times New Roman" w:hAnsi="Times New Roman"/>
          <w:sz w:val="28"/>
        </w:rPr>
      </w:pPr>
      <w:r>
        <w:rPr>
          <w:rFonts w:ascii="Times New Roman" w:hAnsi="Times New Roman"/>
          <w:sz w:val="28"/>
        </w:rPr>
        <w:t>имеются ли специальные требования к участнику или поставляемой продукции.</w:t>
      </w:r>
    </w:p>
    <w:p>
      <w:pPr>
        <w:pStyle w:val="Normal"/>
        <w:widowControl/>
        <w:spacing w:lineRule="auto" w:line="240" w:before="0" w:after="0"/>
        <w:ind w:firstLine="709" w:left="0" w:right="0"/>
        <w:jc w:val="both"/>
        <w:rPr>
          <w:rFonts w:ascii="Times New Roman" w:hAnsi="Times New Roman"/>
          <w:b w:val="false"/>
          <w:sz w:val="28"/>
        </w:rPr>
      </w:pPr>
      <w:r>
        <w:rPr>
          <w:rFonts w:ascii="Times New Roman" w:hAnsi="Times New Roman"/>
          <w:b w:val="false"/>
          <w:sz w:val="28"/>
        </w:rPr>
        <w:t>В таблице ниже представлены общие правила предоставления национального режима.</w:t>
      </w:r>
    </w:p>
    <w:p>
      <w:pPr>
        <w:pStyle w:val="Normal"/>
        <w:widowControl/>
        <w:spacing w:lineRule="auto" w:line="240" w:before="0" w:after="0"/>
        <w:ind w:firstLine="709" w:left="0" w:right="0"/>
        <w:jc w:val="both"/>
        <w:rPr>
          <w:rFonts w:ascii="Times New Roman" w:hAnsi="Times New Roman"/>
          <w:b w:val="false"/>
          <w:sz w:val="20"/>
          <w:szCs w:val="20"/>
        </w:rPr>
      </w:pPr>
      <w:r>
        <w:rPr>
          <w:rFonts w:ascii="Times New Roman" w:hAnsi="Times New Roman"/>
          <w:b w:val="false"/>
          <w:sz w:val="20"/>
          <w:szCs w:val="20"/>
        </w:rPr>
      </w:r>
    </w:p>
    <w:p>
      <w:pPr>
        <w:pStyle w:val="Normal"/>
        <w:widowControl/>
        <w:spacing w:lineRule="auto" w:line="240" w:before="0" w:after="0"/>
        <w:ind w:hanging="0" w:left="0" w:right="0"/>
        <w:jc w:val="center"/>
        <w:rPr>
          <w:rFonts w:ascii="Times New Roman" w:hAnsi="Times New Roman"/>
          <w:b w:val="false"/>
          <w:sz w:val="28"/>
        </w:rPr>
      </w:pPr>
      <w:r>
        <w:rPr>
          <w:rFonts w:ascii="Times New Roman" w:hAnsi="Times New Roman"/>
          <w:b w:val="false"/>
          <w:sz w:val="28"/>
        </w:rPr>
        <w:t>Применение национального режима</w:t>
      </w:r>
    </w:p>
    <w:p>
      <w:pPr>
        <w:pStyle w:val="Normal"/>
        <w:widowControl/>
        <w:spacing w:before="0" w:after="0"/>
        <w:ind w:firstLine="708" w:left="0" w:right="0"/>
        <w:contextualSpacing/>
        <w:jc w:val="both"/>
        <w:rPr>
          <w:rFonts w:ascii="Times New Roman" w:hAnsi="Times New Roman"/>
          <w:sz w:val="20"/>
          <w:szCs w:val="20"/>
        </w:rPr>
      </w:pPr>
      <w:r>
        <w:rPr>
          <w:rFonts w:ascii="Times New Roman" w:hAnsi="Times New Roman"/>
          <w:sz w:val="20"/>
          <w:szCs w:val="20"/>
        </w:rPr>
      </w:r>
    </w:p>
    <w:tbl>
      <w:tblPr>
        <w:tblW w:w="9637" w:type="dxa"/>
        <w:jc w:val="left"/>
        <w:tblInd w:w="-113" w:type="dxa"/>
        <w:tblLayout w:type="fixed"/>
        <w:tblCellMar>
          <w:top w:w="0" w:type="dxa"/>
          <w:left w:w="108" w:type="dxa"/>
          <w:bottom w:w="0" w:type="dxa"/>
          <w:right w:w="108" w:type="dxa"/>
        </w:tblCellMar>
      </w:tblPr>
      <w:tblGrid>
        <w:gridCol w:w="2264"/>
        <w:gridCol w:w="7372"/>
      </w:tblGrid>
      <w:tr>
        <w:trPr>
          <w:trHeight w:val="450" w:hRule="atLeast"/>
        </w:trPr>
        <w:tc>
          <w:tcPr>
            <w:tcW w:w="2264"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lineRule="atLeast" w:line="200" w:before="0" w:after="0"/>
              <w:ind w:hanging="0" w:left="-113" w:right="0"/>
              <w:contextualSpacing/>
              <w:jc w:val="center"/>
              <w:rPr>
                <w:kern w:val="0"/>
                <w:sz w:val="24"/>
                <w:szCs w:val="24"/>
              </w:rPr>
            </w:pPr>
            <w:r>
              <w:rPr>
                <w:rFonts w:ascii="Times New Roman" w:hAnsi="Times New Roman"/>
                <w:kern w:val="0"/>
                <w:sz w:val="24"/>
                <w:szCs w:val="24"/>
              </w:rPr>
              <w:t>«Защитная» мера</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widowControl/>
              <w:suppressAutoHyphens w:val="true"/>
              <w:spacing w:lineRule="atLeast" w:line="200" w:before="0" w:after="0"/>
              <w:ind w:hanging="0" w:left="-113" w:right="0"/>
              <w:contextualSpacing/>
              <w:jc w:val="center"/>
              <w:rPr>
                <w:kern w:val="0"/>
                <w:sz w:val="24"/>
                <w:szCs w:val="24"/>
              </w:rPr>
            </w:pPr>
            <w:r>
              <w:rPr>
                <w:rFonts w:ascii="Times New Roman" w:hAnsi="Times New Roman"/>
                <w:kern w:val="0"/>
                <w:sz w:val="24"/>
                <w:szCs w:val="24"/>
              </w:rPr>
              <w:t>Предоставление «защитной» меры*</w:t>
            </w:r>
          </w:p>
        </w:tc>
      </w:tr>
      <w:tr>
        <w:trPr>
          <w:trHeight w:val="405" w:hRule="atLeast"/>
        </w:trPr>
        <w:tc>
          <w:tcPr>
            <w:tcW w:w="226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200" w:before="0" w:after="0"/>
              <w:ind w:hanging="0" w:left="-57" w:right="0"/>
              <w:contextualSpacing/>
              <w:jc w:val="both"/>
              <w:rPr>
                <w:kern w:val="0"/>
                <w:sz w:val="24"/>
                <w:szCs w:val="24"/>
              </w:rPr>
            </w:pPr>
            <w:r>
              <w:rPr>
                <w:rFonts w:ascii="Times New Roman" w:hAnsi="Times New Roman"/>
                <w:kern w:val="0"/>
                <w:sz w:val="24"/>
                <w:szCs w:val="24"/>
              </w:rPr>
              <w:t>Запрет</w:t>
            </w:r>
          </w:p>
        </w:tc>
        <w:tc>
          <w:tcPr>
            <w:tcW w:w="7372"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ind w:hanging="0" w:left="-57" w:right="0"/>
              <w:contextualSpacing/>
              <w:jc w:val="center"/>
              <w:rPr>
                <w:kern w:val="0"/>
                <w:sz w:val="24"/>
                <w:szCs w:val="24"/>
              </w:rPr>
            </w:pPr>
            <w:r>
              <w:rPr>
                <w:rFonts w:ascii="Times New Roman" w:hAnsi="Times New Roman"/>
                <w:kern w:val="0"/>
                <w:sz w:val="24"/>
                <w:szCs w:val="24"/>
              </w:rPr>
              <w:t>предоставляется в любом случае</w:t>
            </w:r>
          </w:p>
        </w:tc>
      </w:tr>
      <w:tr>
        <w:trPr>
          <w:trHeight w:val="360" w:hRule="atLeast"/>
        </w:trPr>
        <w:tc>
          <w:tcPr>
            <w:tcW w:w="226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200" w:before="0" w:after="0"/>
              <w:ind w:hanging="0" w:left="-57" w:right="0"/>
              <w:contextualSpacing/>
              <w:jc w:val="both"/>
              <w:rPr>
                <w:kern w:val="0"/>
                <w:sz w:val="24"/>
                <w:szCs w:val="24"/>
              </w:rPr>
            </w:pPr>
            <w:r>
              <w:rPr>
                <w:rFonts w:ascii="Times New Roman" w:hAnsi="Times New Roman"/>
                <w:kern w:val="0"/>
                <w:sz w:val="24"/>
                <w:szCs w:val="24"/>
              </w:rPr>
              <w:t>Ограничение</w:t>
            </w:r>
          </w:p>
        </w:tc>
        <w:tc>
          <w:tcPr>
            <w:tcW w:w="7372" w:type="dxa"/>
            <w:tcBorders>
              <w:left w:val="single" w:sz="4" w:space="0" w:color="000000"/>
              <w:bottom w:val="single" w:sz="4" w:space="0" w:color="000000"/>
              <w:right w:val="single" w:sz="4" w:space="0" w:color="000000"/>
            </w:tcBorders>
          </w:tcPr>
          <w:p>
            <w:pPr>
              <w:pStyle w:val="Normal"/>
              <w:widowControl/>
              <w:suppressAutoHyphens w:val="true"/>
              <w:spacing w:before="0" w:after="0"/>
              <w:ind w:hanging="0" w:left="-57" w:right="0"/>
              <w:contextualSpacing/>
              <w:jc w:val="center"/>
              <w:rPr>
                <w:kern w:val="0"/>
                <w:sz w:val="24"/>
                <w:szCs w:val="24"/>
              </w:rPr>
            </w:pPr>
            <w:r>
              <w:rPr>
                <w:rFonts w:ascii="Times New Roman" w:hAnsi="Times New Roman"/>
                <w:kern w:val="0"/>
                <w:sz w:val="24"/>
                <w:szCs w:val="24"/>
              </w:rPr>
              <w:t>предоставляется, если порядок проведения закупки предусматривает подачу заявок на участие в закупке</w:t>
            </w:r>
          </w:p>
        </w:tc>
      </w:tr>
      <w:tr>
        <w:trPr>
          <w:trHeight w:val="360" w:hRule="atLeast"/>
        </w:trPr>
        <w:tc>
          <w:tcPr>
            <w:tcW w:w="2264"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lineRule="atLeast" w:line="200" w:before="0" w:after="0"/>
              <w:ind w:hanging="0" w:left="-57" w:right="0"/>
              <w:contextualSpacing/>
              <w:jc w:val="both"/>
              <w:rPr>
                <w:kern w:val="0"/>
                <w:sz w:val="24"/>
                <w:szCs w:val="24"/>
              </w:rPr>
            </w:pPr>
            <w:r>
              <w:rPr>
                <w:rFonts w:ascii="Times New Roman" w:hAnsi="Times New Roman"/>
                <w:kern w:val="0"/>
                <w:sz w:val="24"/>
                <w:szCs w:val="24"/>
              </w:rPr>
              <w:t>Преимущество</w:t>
            </w:r>
          </w:p>
        </w:tc>
        <w:tc>
          <w:tcPr>
            <w:tcW w:w="7372" w:type="dxa"/>
            <w:tcBorders>
              <w:left w:val="single" w:sz="4" w:space="0" w:color="000000"/>
              <w:bottom w:val="single" w:sz="4" w:space="0" w:color="000000"/>
              <w:right w:val="single" w:sz="4" w:space="0" w:color="000000"/>
            </w:tcBorders>
          </w:tcPr>
          <w:p>
            <w:pPr>
              <w:pStyle w:val="Normal"/>
              <w:widowControl/>
              <w:suppressAutoHyphens w:val="true"/>
              <w:spacing w:before="0" w:after="0"/>
              <w:ind w:hanging="0" w:left="-57" w:right="0"/>
              <w:contextualSpacing/>
              <w:jc w:val="center"/>
              <w:rPr>
                <w:kern w:val="0"/>
                <w:sz w:val="24"/>
                <w:szCs w:val="24"/>
              </w:rPr>
            </w:pPr>
            <w:r>
              <w:rPr>
                <w:rFonts w:ascii="Times New Roman" w:hAnsi="Times New Roman"/>
                <w:kern w:val="0"/>
                <w:sz w:val="24"/>
                <w:szCs w:val="24"/>
              </w:rPr>
              <w:t>предоставляется, если порядок проведения закупки предусматривает подачу заявок на участие в закупке</w:t>
            </w:r>
          </w:p>
        </w:tc>
      </w:tr>
    </w:tbl>
    <w:p>
      <w:pPr>
        <w:pStyle w:val="Normal"/>
        <w:widowControl/>
        <w:spacing w:before="0" w:after="0"/>
        <w:ind w:firstLine="708" w:left="0" w:right="0"/>
        <w:contextualSpacing/>
        <w:jc w:val="both"/>
        <w:rPr>
          <w:rFonts w:ascii="Times New Roman" w:hAnsi="Times New Roman"/>
          <w:sz w:val="24"/>
        </w:rPr>
      </w:pPr>
      <w:r>
        <w:rPr>
          <w:rFonts w:ascii="Times New Roman" w:hAnsi="Times New Roman"/>
          <w:sz w:val="24"/>
        </w:rPr>
        <w:t xml:space="preserve">* Указанная позиция </w:t>
      </w:r>
      <w:r>
        <w:rPr>
          <w:rFonts w:ascii="Times New Roman" w:hAnsi="Times New Roman"/>
          <w:sz w:val="24"/>
        </w:rPr>
        <w:t>приведена на основании мнения</w:t>
      </w:r>
      <w:r>
        <w:rPr>
          <w:rFonts w:ascii="Times New Roman" w:hAnsi="Times New Roman"/>
          <w:sz w:val="24"/>
        </w:rPr>
        <w:t xml:space="preserve"> Минфина России, изложенному в письме от 31.01.2025 № 24-01-06/8697.</w:t>
      </w:r>
    </w:p>
    <w:p>
      <w:pPr>
        <w:pStyle w:val="Normal"/>
        <w:widowControl/>
        <w:spacing w:before="0" w:after="0"/>
        <w:ind w:firstLine="708" w:left="0" w:right="0"/>
        <w:contextualSpacing/>
        <w:jc w:val="both"/>
        <w:rPr>
          <w:rFonts w:ascii="Times New Roman" w:hAnsi="Times New Roman"/>
          <w:sz w:val="28"/>
        </w:rPr>
      </w:pPr>
      <w:r>
        <w:rPr>
          <w:rFonts w:ascii="Times New Roman" w:hAnsi="Times New Roman"/>
          <w:sz w:val="28"/>
        </w:rPr>
      </w:r>
    </w:p>
    <w:p>
      <w:pPr>
        <w:pStyle w:val="Normal"/>
        <w:widowControl/>
        <w:spacing w:lineRule="auto" w:line="240" w:before="0" w:after="0"/>
        <w:ind w:firstLine="709" w:left="0" w:right="0"/>
        <w:jc w:val="both"/>
        <w:rPr>
          <w:rFonts w:ascii="Times New Roman" w:hAnsi="Times New Roman"/>
          <w:b w:val="false"/>
          <w:sz w:val="28"/>
        </w:rPr>
      </w:pPr>
      <w:r>
        <w:rPr>
          <w:rFonts w:ascii="Times New Roman" w:hAnsi="Times New Roman"/>
          <w:b w:val="false"/>
          <w:sz w:val="28"/>
        </w:rPr>
        <w:t>Случаи неприменения национального режима регламентируются нормами вышеуказанного постановления.</w:t>
      </w:r>
    </w:p>
    <w:p>
      <w:pPr>
        <w:pStyle w:val="Normal"/>
        <w:widowControl/>
        <w:spacing w:before="0" w:after="0"/>
        <w:ind w:firstLine="708" w:left="0" w:right="0"/>
        <w:contextualSpacing/>
        <w:jc w:val="both"/>
        <w:rPr/>
      </w:pPr>
      <w:r>
        <w:rPr>
          <w:rFonts w:ascii="Times New Roman" w:hAnsi="Times New Roman"/>
          <w:sz w:val="28"/>
        </w:rPr>
        <w:t>В подразделе «Методические рекомендации/Осуществление закупок» раздела «223-ФЗ» сайта департамента размещены методические рекомендации по предоставлению национального режима (запрет, ограничение, преимущество) при осуществлени</w:t>
      </w:r>
      <w:r>
        <w:rPr>
          <w:rFonts w:ascii="Times New Roman" w:hAnsi="Times New Roman"/>
          <w:b w:val="false"/>
          <w:i w:val="false"/>
          <w:caps w:val="false"/>
          <w:smallCaps w:val="false"/>
          <w:strike w:val="false"/>
          <w:dstrike w:val="false"/>
          <w:shadow w:val="false"/>
          <w:color w:val="000000"/>
          <w:sz w:val="28"/>
          <w:u w:val="none"/>
        </w:rPr>
        <w:t>и закупок в соответствии с Законом                         № 223-ФЗ (https://drcs.krasnodar.ru/zakupki/d223-fz/metodicheskie-rekomendatsii/osushchestvlenie-zakupok-/379918).</w:t>
      </w:r>
    </w:p>
    <w:p>
      <w:pPr>
        <w:pStyle w:val="Normal"/>
        <w:widowControl/>
        <w:spacing w:lineRule="auto" w:line="240" w:before="0" w:after="0"/>
        <w:ind w:firstLine="709" w:left="0" w:right="0"/>
        <w:jc w:val="both"/>
        <w:rPr>
          <w:rFonts w:ascii="Times New Roman" w:hAnsi="Times New Roman"/>
          <w:b w:val="false"/>
          <w:sz w:val="28"/>
        </w:rPr>
      </w:pPr>
      <w:r>
        <w:rPr>
          <w:rFonts w:ascii="Times New Roman" w:hAnsi="Times New Roman"/>
          <w:b w:val="false"/>
          <w:sz w:val="28"/>
        </w:rPr>
      </w:r>
    </w:p>
    <w:p>
      <w:pPr>
        <w:pStyle w:val="Normal"/>
        <w:widowControl/>
        <w:spacing w:lineRule="auto" w:line="240"/>
        <w:jc w:val="center"/>
        <w:rPr>
          <w:rFonts w:ascii="Times New Roman" w:hAnsi="Times New Roman"/>
          <w:b/>
          <w:sz w:val="28"/>
        </w:rPr>
      </w:pPr>
      <w:r>
        <w:rPr>
          <w:rFonts w:ascii="Times New Roman" w:hAnsi="Times New Roman"/>
          <w:b/>
          <w:sz w:val="28"/>
        </w:rPr>
        <w:t>6. ВЫБОР КОНТРАГЕНТА</w:t>
      </w:r>
    </w:p>
    <w:p>
      <w:pPr>
        <w:pStyle w:val="Normal"/>
        <w:widowControl/>
        <w:spacing w:lineRule="auto" w:line="240"/>
        <w:jc w:val="center"/>
        <w:rPr>
          <w:rFonts w:ascii="Times New Roman" w:hAnsi="Times New Roman"/>
          <w:b/>
          <w:sz w:val="28"/>
        </w:rPr>
      </w:pPr>
      <w:r>
        <w:rPr>
          <w:rFonts w:ascii="Times New Roman" w:hAnsi="Times New Roman"/>
          <w:b/>
          <w:sz w:val="28"/>
        </w:rPr>
      </w:r>
    </w:p>
    <w:p>
      <w:pPr>
        <w:pStyle w:val="Normal"/>
        <w:widowControl/>
        <w:spacing w:lineRule="auto" w:line="240"/>
        <w:ind w:firstLine="709" w:left="0" w:right="0"/>
        <w:jc w:val="both"/>
        <w:rPr/>
      </w:pPr>
      <w:r>
        <w:rPr>
          <w:rFonts w:ascii="Times New Roman" w:hAnsi="Times New Roman"/>
          <w:b w:val="false"/>
          <w:sz w:val="28"/>
        </w:rPr>
        <w:t>Перед заключением договора следует проверить добросовестность контрагента,</w:t>
      </w:r>
      <w:r>
        <w:rPr>
          <w:rFonts w:ascii="Times New Roman" w:hAnsi="Times New Roman"/>
          <w:sz w:val="28"/>
        </w:rPr>
        <w:t xml:space="preserve"> собрать о нем необходимую информацию. Целесообразно проверить:</w:t>
      </w:r>
    </w:p>
    <w:p>
      <w:pPr>
        <w:pStyle w:val="Normal"/>
        <w:spacing w:lineRule="auto" w:line="240"/>
        <w:ind w:firstLine="709" w:left="0" w:right="0"/>
        <w:jc w:val="both"/>
        <w:rPr>
          <w:rFonts w:ascii="Times New Roman" w:hAnsi="Times New Roman"/>
          <w:sz w:val="28"/>
        </w:rPr>
      </w:pPr>
      <w:r>
        <w:rPr>
          <w:rFonts w:ascii="Times New Roman" w:hAnsi="Times New Roman"/>
          <w:sz w:val="28"/>
        </w:rPr>
        <w:t>сведения о юридическом лице или индивидуальном предпринимателе в ЕГРЮЛ/ЕГРИП (https://egrul.nalog.ru);</w:t>
      </w:r>
    </w:p>
    <w:p>
      <w:pPr>
        <w:pStyle w:val="Normal"/>
        <w:spacing w:lineRule="auto" w:line="240"/>
        <w:ind w:firstLine="709" w:left="0" w:right="0"/>
        <w:jc w:val="both"/>
        <w:rPr>
          <w:rFonts w:ascii="Times New Roman" w:hAnsi="Times New Roman"/>
          <w:sz w:val="28"/>
        </w:rPr>
      </w:pPr>
      <w:r>
        <w:rPr>
          <w:rFonts w:ascii="Times New Roman" w:hAnsi="Times New Roman"/>
          <w:sz w:val="28"/>
        </w:rPr>
        <w:t>полномочия лица, подписывающего договор;</w:t>
      </w:r>
    </w:p>
    <w:p>
      <w:pPr>
        <w:pStyle w:val="Normal"/>
        <w:spacing w:lineRule="auto" w:line="240"/>
        <w:ind w:firstLine="709" w:left="0" w:right="0"/>
        <w:jc w:val="both"/>
        <w:rPr>
          <w:rFonts w:ascii="Times New Roman" w:hAnsi="Times New Roman"/>
          <w:sz w:val="28"/>
        </w:rPr>
      </w:pPr>
      <w:r>
        <w:rPr>
          <w:rFonts w:ascii="Times New Roman" w:hAnsi="Times New Roman"/>
          <w:sz w:val="28"/>
        </w:rPr>
        <w:t>сведения о нахождении в реестре недобросовестных поставщиков;</w:t>
      </w:r>
    </w:p>
    <w:p>
      <w:pPr>
        <w:pStyle w:val="Normal"/>
        <w:spacing w:lineRule="auto" w:line="240"/>
        <w:ind w:firstLine="709" w:left="0" w:right="0"/>
        <w:jc w:val="both"/>
        <w:rPr>
          <w:rFonts w:ascii="Times New Roman" w:hAnsi="Times New Roman"/>
          <w:sz w:val="28"/>
        </w:rPr>
      </w:pPr>
      <w:r>
        <w:rPr>
          <w:rFonts w:ascii="Times New Roman" w:hAnsi="Times New Roman"/>
          <w:sz w:val="28"/>
        </w:rPr>
        <w:t>соответствие контрагента необходимым требованиям (наличие необходимых лицензий, разрешений и допусков и т. д.);</w:t>
      </w:r>
    </w:p>
    <w:p>
      <w:pPr>
        <w:pStyle w:val="Normal"/>
        <w:spacing w:lineRule="auto" w:line="240"/>
        <w:ind w:firstLine="709" w:left="0" w:right="0"/>
        <w:jc w:val="both"/>
        <w:rPr>
          <w:rFonts w:ascii="Times New Roman" w:hAnsi="Times New Roman"/>
          <w:sz w:val="28"/>
        </w:rPr>
      </w:pPr>
      <w:r>
        <w:rPr>
          <w:rFonts w:ascii="Times New Roman" w:hAnsi="Times New Roman"/>
          <w:sz w:val="28"/>
        </w:rPr>
        <w:t>отсутствие</w:t>
      </w:r>
      <w:r>
        <w:rPr>
          <w:rFonts w:ascii="Times New Roman" w:hAnsi="Times New Roman"/>
          <w:sz w:val="28"/>
        </w:rPr>
        <w:t xml:space="preserve"> конфликта интересов;</w:t>
      </w:r>
    </w:p>
    <w:p>
      <w:pPr>
        <w:pStyle w:val="Normal"/>
        <w:spacing w:lineRule="auto" w:line="240"/>
        <w:ind w:firstLine="709" w:left="0" w:right="0"/>
        <w:jc w:val="both"/>
        <w:rPr>
          <w:rFonts w:ascii="Times New Roman" w:hAnsi="Times New Roman"/>
          <w:sz w:val="28"/>
        </w:rPr>
      </w:pPr>
      <w:r>
        <w:rPr>
          <w:rFonts w:ascii="Times New Roman" w:hAnsi="Times New Roman"/>
          <w:sz w:val="28"/>
        </w:rPr>
        <w:t>соответствие контрагента, поставляемых им товаров требованиям национального режима</w:t>
      </w:r>
    </w:p>
    <w:p>
      <w:pPr>
        <w:pStyle w:val="Normal"/>
        <w:spacing w:lineRule="auto" w:line="240"/>
        <w:ind w:firstLine="709" w:left="0" w:right="0"/>
        <w:jc w:val="both"/>
        <w:rPr>
          <w:rFonts w:ascii="Times New Roman" w:hAnsi="Times New Roman"/>
          <w:sz w:val="28"/>
        </w:rPr>
      </w:pPr>
      <w:r>
        <w:rPr>
          <w:rFonts w:ascii="Times New Roman" w:hAnsi="Times New Roman"/>
          <w:sz w:val="28"/>
        </w:rPr>
        <w:t>иную информацию, которую заказчик считает необходимой</w:t>
      </w:r>
      <w:r>
        <w:rPr>
          <w:rFonts w:ascii="Times New Roman" w:hAnsi="Times New Roman"/>
          <w:sz w:val="28"/>
        </w:rPr>
        <w:t>.</w:t>
      </w:r>
    </w:p>
    <w:p>
      <w:pPr>
        <w:pStyle w:val="Normal"/>
        <w:spacing w:lineRule="auto" w:line="240"/>
        <w:ind w:firstLine="709" w:left="0" w:right="0"/>
        <w:jc w:val="both"/>
        <w:rPr>
          <w:rFonts w:ascii="Times New Roman" w:hAnsi="Times New Roman"/>
          <w:sz w:val="28"/>
        </w:rPr>
      </w:pPr>
      <w:r>
        <w:rPr>
          <w:rFonts w:ascii="Times New Roman" w:hAnsi="Times New Roman"/>
          <w:sz w:val="28"/>
        </w:rPr>
        <w:t xml:space="preserve">ФАС России и ФНС России в письме от 15.05.2025 № ЕД-17-31/1324/МШ/45087/25 рекомендуют использовать для этого Сервисы оценки юридических лиц и индивидуальных предпринимателей, доступные бесплатно на сайте ФНС России (https://pb.nalog.ru/grade.html?ysclid=mue7a5heyf208765283). </w:t>
      </w:r>
    </w:p>
    <w:p>
      <w:pPr>
        <w:pStyle w:val="Normal"/>
        <w:spacing w:lineRule="auto" w:line="240"/>
        <w:ind w:firstLine="709" w:left="0" w:right="0"/>
        <w:jc w:val="both"/>
        <w:rPr>
          <w:rFonts w:ascii="Times New Roman" w:hAnsi="Times New Roman"/>
          <w:b w:val="false"/>
          <w:bCs w:val="false"/>
          <w:sz w:val="28"/>
        </w:rPr>
      </w:pPr>
      <w:r>
        <w:rPr>
          <w:rFonts w:ascii="Times New Roman" w:hAnsi="Times New Roman"/>
          <w:b w:val="false"/>
          <w:bCs w:val="false"/>
          <w:sz w:val="28"/>
        </w:rPr>
        <w:t>Результаты проверки целесообразно зафиксировать документально.</w:t>
      </w:r>
    </w:p>
    <w:p>
      <w:pPr>
        <w:pStyle w:val="Normal"/>
        <w:spacing w:lineRule="auto" w:line="240"/>
        <w:ind w:firstLine="709" w:left="0" w:right="0"/>
        <w:jc w:val="both"/>
        <w:rPr>
          <w:rFonts w:ascii="Times New Roman" w:hAnsi="Times New Roman"/>
          <w:sz w:val="28"/>
        </w:rPr>
      </w:pPr>
      <w:r>
        <w:rPr>
          <w:rFonts w:ascii="Times New Roman" w:hAnsi="Times New Roman"/>
          <w:sz w:val="28"/>
        </w:rPr>
      </w:r>
    </w:p>
    <w:p>
      <w:pPr>
        <w:pStyle w:val="Normal"/>
        <w:widowControl/>
        <w:bidi w:val="0"/>
        <w:spacing w:lineRule="auto" w:line="240" w:before="0" w:after="0"/>
        <w:ind w:hanging="0" w:left="0" w:right="0"/>
        <w:jc w:val="center"/>
        <w:rPr>
          <w:rFonts w:ascii="Times New Roman" w:hAnsi="Times New Roman"/>
          <w:b/>
          <w:bCs/>
          <w:sz w:val="28"/>
        </w:rPr>
      </w:pPr>
      <w:r>
        <w:rPr>
          <w:rFonts w:ascii="Times New Roman" w:hAnsi="Times New Roman"/>
          <w:b/>
          <w:bCs/>
          <w:sz w:val="28"/>
        </w:rPr>
        <w:t>7. ОБЩИЕ РЕКОМЕНДАЦИИ</w:t>
      </w:r>
    </w:p>
    <w:p>
      <w:pPr>
        <w:pStyle w:val="Normal"/>
        <w:spacing w:lineRule="auto" w:line="240"/>
        <w:ind w:firstLine="709" w:left="0" w:right="0"/>
        <w:jc w:val="both"/>
        <w:rPr>
          <w:rFonts w:ascii="Times New Roman" w:hAnsi="Times New Roman"/>
          <w:sz w:val="28"/>
        </w:rPr>
      </w:pPr>
      <w:r>
        <w:rPr>
          <w:rFonts w:ascii="Times New Roman" w:hAnsi="Times New Roman"/>
          <w:sz w:val="28"/>
        </w:rPr>
      </w:r>
    </w:p>
    <w:p>
      <w:pPr>
        <w:pStyle w:val="Normal"/>
        <w:spacing w:lineRule="auto" w:line="240"/>
        <w:ind w:firstLine="709" w:left="0" w:right="0"/>
        <w:jc w:val="both"/>
        <w:rPr>
          <w:rFonts w:ascii="Times New Roman" w:hAnsi="Times New Roman"/>
          <w:sz w:val="28"/>
        </w:rPr>
      </w:pPr>
      <w:r>
        <w:rPr>
          <w:rFonts w:ascii="Times New Roman" w:hAnsi="Times New Roman"/>
          <w:sz w:val="28"/>
        </w:rPr>
        <w:t>Подводя итог, можно сформулировать следующий алгоритм действий при осуществлении закупки у единственного поставщика.</w:t>
      </w:r>
    </w:p>
    <w:p>
      <w:pPr>
        <w:pStyle w:val="Normal"/>
        <w:spacing w:lineRule="auto" w:line="240"/>
        <w:ind w:firstLine="709" w:left="0" w:right="0"/>
        <w:jc w:val="both"/>
        <w:rPr>
          <w:rFonts w:ascii="Times New Roman" w:hAnsi="Times New Roman"/>
          <w:sz w:val="28"/>
        </w:rPr>
      </w:pPr>
      <w:r>
        <w:rPr/>
      </w:r>
    </w:p>
    <w:tbl>
      <w:tblPr>
        <w:tblW w:w="5000" w:type="pct"/>
        <w:jc w:val="left"/>
        <w:tblInd w:w="-5" w:type="dxa"/>
        <w:tblLayout w:type="fixed"/>
        <w:tblCellMar>
          <w:top w:w="55" w:type="dxa"/>
          <w:left w:w="55" w:type="dxa"/>
          <w:bottom w:w="55" w:type="dxa"/>
          <w:right w:w="55" w:type="dxa"/>
        </w:tblCellMar>
      </w:tblPr>
      <w:tblGrid>
        <w:gridCol w:w="562"/>
        <w:gridCol w:w="3668"/>
        <w:gridCol w:w="5408"/>
      </w:tblGrid>
      <w:tr>
        <w:trPr>
          <w:tblHeader w:val="true"/>
          <w:trHeight w:val="630" w:hRule="atLeast"/>
        </w:trPr>
        <w:tc>
          <w:tcPr>
            <w:tcW w:w="562" w:type="dxa"/>
            <w:tcBorders>
              <w:top w:val="single" w:sz="4" w:space="0" w:color="000000"/>
              <w:left w:val="single" w:sz="4" w:space="0" w:color="000000"/>
              <w:bottom w:val="single" w:sz="4" w:space="0" w:color="000000"/>
            </w:tcBorders>
            <w:vAlign w:val="center"/>
          </w:tcPr>
          <w:p>
            <w:pPr>
              <w:pStyle w:val="user"/>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3668" w:type="dxa"/>
            <w:tcBorders>
              <w:top w:val="single" w:sz="4" w:space="0" w:color="000000"/>
              <w:left w:val="single" w:sz="4" w:space="0" w:color="000000"/>
              <w:bottom w:val="single" w:sz="4" w:space="0" w:color="000000"/>
            </w:tcBorders>
            <w:vAlign w:val="center"/>
          </w:tcPr>
          <w:p>
            <w:pPr>
              <w:pStyle w:val="user"/>
              <w:jc w:val="center"/>
              <w:rPr>
                <w:rFonts w:ascii="Times New Roman" w:hAnsi="Times New Roman"/>
                <w:sz w:val="24"/>
                <w:szCs w:val="24"/>
              </w:rPr>
            </w:pPr>
            <w:r>
              <w:rPr>
                <w:rFonts w:ascii="Times New Roman" w:hAnsi="Times New Roman"/>
                <w:sz w:val="24"/>
                <w:szCs w:val="24"/>
              </w:rPr>
              <w:t>Наименование этапа</w:t>
            </w:r>
          </w:p>
        </w:tc>
        <w:tc>
          <w:tcPr>
            <w:tcW w:w="5408" w:type="dxa"/>
            <w:tcBorders>
              <w:top w:val="single" w:sz="4" w:space="0" w:color="000000"/>
              <w:left w:val="single" w:sz="4" w:space="0" w:color="000000"/>
              <w:bottom w:val="single" w:sz="4" w:space="0" w:color="000000"/>
              <w:right w:val="single" w:sz="4" w:space="0" w:color="000000"/>
            </w:tcBorders>
            <w:vAlign w:val="center"/>
          </w:tcPr>
          <w:p>
            <w:pPr>
              <w:pStyle w:val="user"/>
              <w:jc w:val="center"/>
              <w:rPr>
                <w:rFonts w:ascii="Times New Roman" w:hAnsi="Times New Roman"/>
                <w:sz w:val="24"/>
                <w:szCs w:val="24"/>
              </w:rPr>
            </w:pPr>
            <w:r>
              <w:rPr>
                <w:rFonts w:ascii="Times New Roman" w:hAnsi="Times New Roman"/>
                <w:sz w:val="24"/>
                <w:szCs w:val="24"/>
              </w:rPr>
              <w:t>Краткое описание</w:t>
            </w:r>
          </w:p>
        </w:tc>
      </w:tr>
      <w:tr>
        <w:trPr>
          <w:trHeight w:val="405"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1</w:t>
            </w:r>
          </w:p>
        </w:tc>
        <w:tc>
          <w:tcPr>
            <w:tcW w:w="3668" w:type="dxa"/>
            <w:tcBorders>
              <w:left w:val="single" w:sz="4" w:space="0" w:color="000000"/>
              <w:bottom w:val="single" w:sz="4" w:space="0" w:color="000000"/>
            </w:tcBorders>
          </w:tcPr>
          <w:p>
            <w:pPr>
              <w:pStyle w:val="Normal"/>
              <w:spacing w:lineRule="auto" w:line="240"/>
              <w:ind w:hanging="0" w:left="0" w:right="0"/>
              <w:jc w:val="left"/>
              <w:rPr/>
            </w:pPr>
            <w:r>
              <w:rPr>
                <w:rFonts w:ascii="Times New Roman" w:hAnsi="Times New Roman"/>
                <w:sz w:val="24"/>
                <w:szCs w:val="24"/>
              </w:rPr>
              <w:t>Определить потребность</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Сформулировать предмет и объем закупки</w:t>
            </w:r>
          </w:p>
        </w:tc>
      </w:tr>
      <w:tr>
        <w:trPr>
          <w:trHeight w:val="900"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2</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Найти основание</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Определить конкретный пункт в перечне случаев осуществления закупки у единственного поставщика, утвержденном положением о закупке</w:t>
            </w:r>
          </w:p>
        </w:tc>
      </w:tr>
      <w:tr>
        <w:trPr>
          <w:trHeight w:val="1767"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3</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Проверить условия применения основания</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sz w:val="24"/>
                <w:szCs w:val="24"/>
              </w:rPr>
            </w:pPr>
            <w:r>
              <w:rPr>
                <w:rFonts w:ascii="Times New Roman" w:hAnsi="Times New Roman"/>
                <w:sz w:val="24"/>
                <w:szCs w:val="24"/>
              </w:rPr>
              <w:t>Проверить, имеются ли фактические обстоятельства, позволяющие применить это основание, соблюдены ли установленные положением о закупке условия и ограничения, не приводит ли применение основания к необоснованному ограничению конкуренции</w:t>
            </w:r>
          </w:p>
        </w:tc>
      </w:tr>
      <w:tr>
        <w:trPr>
          <w:trHeight w:val="675"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4</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Исключить искусственное дробление</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Проверить предыдущие и планируемые закупки аналогичного предмета закупки</w:t>
            </w:r>
          </w:p>
        </w:tc>
      </w:tr>
      <w:tr>
        <w:trPr>
          <w:trHeight w:val="630"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5</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Проверить требования национального режима</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Определить  применяемые нормы Постановления № 1875</w:t>
            </w:r>
          </w:p>
        </w:tc>
      </w:tr>
      <w:tr>
        <w:trPr>
          <w:trHeight w:val="630"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6</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Обосновать цену</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 xml:space="preserve">Выбрать предусмотренный положением метод </w:t>
            </w:r>
            <w:r>
              <w:rPr>
                <w:rFonts w:ascii="Times New Roman" w:hAnsi="Times New Roman"/>
                <w:sz w:val="24"/>
                <w:szCs w:val="24"/>
              </w:rPr>
              <w:t xml:space="preserve">обоснования цены договора </w:t>
            </w:r>
            <w:r>
              <w:rPr>
                <w:rFonts w:ascii="Times New Roman" w:hAnsi="Times New Roman"/>
                <w:sz w:val="24"/>
                <w:szCs w:val="24"/>
              </w:rPr>
              <w:t>и оформить расчет</w:t>
            </w:r>
          </w:p>
        </w:tc>
      </w:tr>
      <w:tr>
        <w:trPr>
          <w:trHeight w:val="675"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7</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Выбрать контрагента</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Зафиксировать объективные причины выбора конкретного контрагента, провести его проверку</w:t>
            </w:r>
          </w:p>
        </w:tc>
      </w:tr>
      <w:tr>
        <w:trPr>
          <w:trHeight w:val="900"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8</w:t>
            </w:r>
          </w:p>
        </w:tc>
        <w:tc>
          <w:tcPr>
            <w:tcW w:w="3668" w:type="dxa"/>
            <w:tcBorders>
              <w:left w:val="single" w:sz="4" w:space="0" w:color="000000"/>
              <w:bottom w:val="single" w:sz="4" w:space="0" w:color="000000"/>
            </w:tcBorders>
          </w:tcPr>
          <w:p>
            <w:pPr>
              <w:pStyle w:val="user"/>
              <w:bidi w:val="0"/>
              <w:spacing w:before="0" w:after="0"/>
              <w:ind w:hanging="0" w:left="57" w:right="57"/>
              <w:jc w:val="left"/>
              <w:rPr/>
            </w:pPr>
            <w:r>
              <w:rPr>
                <w:rFonts w:ascii="Times New Roman" w:hAnsi="Times New Roman"/>
                <w:sz w:val="24"/>
                <w:szCs w:val="24"/>
              </w:rPr>
              <w:t>Изучить требования к информационному обеспечению закупки</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Определить, какая информация должна быть размещена в ЕИС и в какие сроки (начиная с плана закупок и заканчивая реестром договоров)</w:t>
            </w:r>
          </w:p>
        </w:tc>
      </w:tr>
      <w:tr>
        <w:trPr>
          <w:trHeight w:val="630"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9</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Согласовать закупку</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Получить предусмотренные  внутренние согласования</w:t>
            </w:r>
          </w:p>
        </w:tc>
      </w:tr>
      <w:tr>
        <w:trPr>
          <w:trHeight w:val="1245" w:hRule="atLeast"/>
        </w:trPr>
        <w:tc>
          <w:tcPr>
            <w:tcW w:w="562" w:type="dxa"/>
            <w:tcBorders>
              <w:left w:val="single" w:sz="4" w:space="0" w:color="000000"/>
              <w:bottom w:val="single" w:sz="4" w:space="0" w:color="000000"/>
            </w:tcBorders>
          </w:tcPr>
          <w:p>
            <w:pPr>
              <w:pStyle w:val="user"/>
              <w:jc w:val="center"/>
              <w:rPr>
                <w:rFonts w:ascii="Times New Roman" w:hAnsi="Times New Roman"/>
                <w:sz w:val="24"/>
                <w:szCs w:val="24"/>
              </w:rPr>
            </w:pPr>
            <w:r>
              <w:rPr>
                <w:rFonts w:ascii="Times New Roman" w:hAnsi="Times New Roman"/>
                <w:sz w:val="24"/>
                <w:szCs w:val="24"/>
              </w:rPr>
              <w:t>10</w:t>
            </w:r>
          </w:p>
        </w:tc>
        <w:tc>
          <w:tcPr>
            <w:tcW w:w="3668" w:type="dxa"/>
            <w:tcBorders>
              <w:left w:val="single" w:sz="4" w:space="0" w:color="000000"/>
              <w:bottom w:val="single" w:sz="4" w:space="0" w:color="000000"/>
            </w:tcBorders>
          </w:tcPr>
          <w:p>
            <w:pPr>
              <w:pStyle w:val="Normal"/>
              <w:bidi w:val="0"/>
              <w:spacing w:lineRule="auto" w:line="240" w:before="0" w:after="0"/>
              <w:ind w:hanging="0" w:left="57" w:right="57"/>
              <w:jc w:val="left"/>
              <w:rPr/>
            </w:pPr>
            <w:r>
              <w:rPr>
                <w:rFonts w:ascii="Times New Roman" w:hAnsi="Times New Roman"/>
                <w:sz w:val="24"/>
                <w:szCs w:val="24"/>
              </w:rPr>
              <w:t>Заключить и исполнить договор</w:t>
            </w:r>
          </w:p>
        </w:tc>
        <w:tc>
          <w:tcPr>
            <w:tcW w:w="5408" w:type="dxa"/>
            <w:tcBorders>
              <w:left w:val="single" w:sz="4" w:space="0" w:color="000000"/>
              <w:bottom w:val="single" w:sz="4" w:space="0" w:color="000000"/>
              <w:right w:val="single" w:sz="4" w:space="0" w:color="000000"/>
            </w:tcBorders>
          </w:tcPr>
          <w:p>
            <w:pPr>
              <w:pStyle w:val="Normal"/>
              <w:widowControl/>
              <w:bidi w:val="0"/>
              <w:spacing w:lineRule="auto" w:line="240" w:before="0" w:after="0"/>
              <w:ind w:hanging="0" w:left="113" w:right="57"/>
              <w:jc w:val="both"/>
              <w:rPr>
                <w:rFonts w:ascii="Times New Roman" w:hAnsi="Times New Roman"/>
                <w:sz w:val="24"/>
                <w:szCs w:val="24"/>
              </w:rPr>
            </w:pPr>
            <w:r>
              <w:rPr>
                <w:rFonts w:ascii="Times New Roman" w:hAnsi="Times New Roman"/>
                <w:sz w:val="24"/>
                <w:szCs w:val="24"/>
              </w:rPr>
              <w:t>Обеспечить соответствие договора требованиям законодательства, исполнять в срок условия договора, при необходимости применять меры ответственности</w:t>
            </w:r>
          </w:p>
        </w:tc>
      </w:tr>
    </w:tbl>
    <w:p>
      <w:pPr>
        <w:pStyle w:val="Normal"/>
        <w:spacing w:lineRule="auto" w:line="240"/>
        <w:ind w:firstLine="709" w:left="0" w:right="0"/>
        <w:jc w:val="both"/>
        <w:rPr>
          <w:rFonts w:ascii="Times New Roman" w:hAnsi="Times New Roman"/>
          <w:sz w:val="28"/>
        </w:rPr>
      </w:pPr>
      <w:r>
        <w:rPr>
          <w:rFonts w:ascii="Times New Roman" w:hAnsi="Times New Roman"/>
          <w:sz w:val="28"/>
        </w:rPr>
      </w:r>
    </w:p>
    <w:p>
      <w:pPr>
        <w:pStyle w:val="Normal"/>
        <w:spacing w:lineRule="auto" w:line="240"/>
        <w:ind w:firstLine="709" w:left="0" w:right="0"/>
        <w:jc w:val="both"/>
        <w:rPr>
          <w:rFonts w:ascii="Times New Roman" w:hAnsi="Times New Roman"/>
          <w:sz w:val="28"/>
        </w:rPr>
      </w:pPr>
      <w:r>
        <w:rPr>
          <w:rFonts w:ascii="Times New Roman" w:hAnsi="Times New Roman"/>
          <w:sz w:val="28"/>
        </w:rPr>
        <w:t>При осуществлении закупки у единственного поставщика целесообразно формировать комплект документов, в который входят:</w:t>
      </w:r>
    </w:p>
    <w:p>
      <w:pPr>
        <w:pStyle w:val="Normal"/>
        <w:spacing w:lineRule="auto" w:line="240"/>
        <w:ind w:firstLine="709" w:left="0" w:right="0"/>
        <w:jc w:val="both"/>
        <w:rPr>
          <w:rFonts w:ascii="Times New Roman" w:hAnsi="Times New Roman"/>
          <w:sz w:val="28"/>
        </w:rPr>
      </w:pPr>
      <w:r>
        <w:rPr>
          <w:rFonts w:ascii="Times New Roman" w:hAnsi="Times New Roman"/>
          <w:sz w:val="28"/>
        </w:rPr>
        <w:t xml:space="preserve">заявка (служебная записка) о потребности </w:t>
      </w:r>
      <w:r>
        <w:rPr>
          <w:rFonts w:ascii="Times New Roman" w:hAnsi="Times New Roman"/>
          <w:sz w:val="28"/>
        </w:rPr>
        <w:t>от инициатора закупки</w:t>
      </w:r>
      <w:r>
        <w:rPr>
          <w:rFonts w:ascii="Times New Roman" w:hAnsi="Times New Roman"/>
          <w:sz w:val="28"/>
        </w:rPr>
        <w:t>;</w:t>
      </w:r>
    </w:p>
    <w:p>
      <w:pPr>
        <w:pStyle w:val="Normal"/>
        <w:spacing w:lineRule="auto" w:line="240"/>
        <w:ind w:firstLine="709" w:left="0" w:right="0"/>
        <w:jc w:val="both"/>
        <w:rPr>
          <w:rFonts w:ascii="Times New Roman" w:hAnsi="Times New Roman"/>
          <w:sz w:val="28"/>
        </w:rPr>
      </w:pPr>
      <w:r>
        <w:rPr>
          <w:rFonts w:ascii="Times New Roman" w:hAnsi="Times New Roman"/>
          <w:sz w:val="28"/>
        </w:rPr>
        <w:t>обоснование выбора способа закупки, в том числе документы, подтверждающие обстоятельства применения основания;</w:t>
      </w:r>
    </w:p>
    <w:p>
      <w:pPr>
        <w:pStyle w:val="Normal"/>
        <w:spacing w:lineRule="auto" w:line="240"/>
        <w:ind w:firstLine="709" w:left="0" w:right="0"/>
        <w:jc w:val="both"/>
        <w:rPr>
          <w:rFonts w:ascii="Times New Roman" w:hAnsi="Times New Roman"/>
          <w:sz w:val="28"/>
        </w:rPr>
      </w:pPr>
      <w:r>
        <w:rPr>
          <w:rFonts w:ascii="Times New Roman" w:hAnsi="Times New Roman"/>
          <w:sz w:val="28"/>
        </w:rPr>
        <w:t xml:space="preserve">расчет цены договора, </w:t>
      </w:r>
      <w:r>
        <w:rPr>
          <w:rFonts w:ascii="Times New Roman" w:hAnsi="Times New Roman"/>
          <w:sz w:val="28"/>
        </w:rPr>
        <w:t>включая</w:t>
      </w:r>
      <w:r>
        <w:rPr>
          <w:rFonts w:ascii="Times New Roman" w:hAnsi="Times New Roman"/>
          <w:sz w:val="28"/>
        </w:rPr>
        <w:t xml:space="preserve"> источники </w:t>
      </w:r>
      <w:r>
        <w:rPr>
          <w:rFonts w:ascii="Times New Roman" w:hAnsi="Times New Roman"/>
          <w:sz w:val="28"/>
        </w:rPr>
        <w:t>ценовой информации</w:t>
      </w:r>
      <w:r>
        <w:rPr>
          <w:rFonts w:ascii="Times New Roman" w:hAnsi="Times New Roman"/>
          <w:sz w:val="28"/>
        </w:rPr>
        <w:t>;</w:t>
      </w:r>
    </w:p>
    <w:p>
      <w:pPr>
        <w:pStyle w:val="Normal"/>
        <w:spacing w:lineRule="auto" w:line="240"/>
        <w:ind w:firstLine="709" w:left="0" w:right="0"/>
        <w:jc w:val="both"/>
        <w:rPr>
          <w:rFonts w:ascii="Times New Roman" w:hAnsi="Times New Roman"/>
          <w:sz w:val="28"/>
        </w:rPr>
      </w:pPr>
      <w:r>
        <w:rPr>
          <w:rFonts w:ascii="Times New Roman" w:hAnsi="Times New Roman"/>
          <w:sz w:val="28"/>
        </w:rPr>
        <w:t>обоснование выбора контрагента;</w:t>
      </w:r>
    </w:p>
    <w:p>
      <w:pPr>
        <w:pStyle w:val="Normal"/>
        <w:spacing w:lineRule="auto" w:line="240"/>
        <w:ind w:firstLine="709" w:left="0" w:right="0"/>
        <w:jc w:val="both"/>
        <w:rPr>
          <w:rFonts w:ascii="Times New Roman" w:hAnsi="Times New Roman"/>
          <w:sz w:val="28"/>
        </w:rPr>
      </w:pPr>
      <w:r>
        <w:rPr>
          <w:rFonts w:ascii="Times New Roman" w:hAnsi="Times New Roman"/>
          <w:sz w:val="28"/>
        </w:rPr>
        <w:t>документы о проверке контрагента;</w:t>
      </w:r>
    </w:p>
    <w:p>
      <w:pPr>
        <w:pStyle w:val="Normal"/>
        <w:spacing w:lineRule="auto" w:line="240"/>
        <w:ind w:firstLine="709" w:left="0" w:right="0"/>
        <w:jc w:val="both"/>
        <w:rPr>
          <w:rFonts w:ascii="Times New Roman" w:hAnsi="Times New Roman"/>
          <w:sz w:val="28"/>
        </w:rPr>
      </w:pPr>
      <w:r>
        <w:rPr>
          <w:rFonts w:ascii="Times New Roman" w:hAnsi="Times New Roman"/>
          <w:sz w:val="28"/>
        </w:rPr>
        <w:t xml:space="preserve">согласования, предусмотренные положением о закупке, </w:t>
      </w:r>
      <w:r>
        <w:rPr>
          <w:rFonts w:ascii="Times New Roman" w:hAnsi="Times New Roman"/>
          <w:sz w:val="28"/>
        </w:rPr>
        <w:t>локальными актами заказчика</w:t>
      </w:r>
      <w:r>
        <w:rPr>
          <w:rFonts w:ascii="Times New Roman" w:hAnsi="Times New Roman"/>
          <w:sz w:val="28"/>
        </w:rPr>
        <w:t>;</w:t>
      </w:r>
    </w:p>
    <w:p>
      <w:pPr>
        <w:pStyle w:val="Normal"/>
        <w:spacing w:lineRule="auto" w:line="240"/>
        <w:ind w:firstLine="709" w:left="0" w:right="0"/>
        <w:jc w:val="both"/>
        <w:rPr>
          <w:rFonts w:ascii="Times New Roman" w:hAnsi="Times New Roman"/>
          <w:sz w:val="28"/>
        </w:rPr>
      </w:pPr>
      <w:r>
        <w:rPr>
          <w:rFonts w:ascii="Times New Roman" w:hAnsi="Times New Roman"/>
          <w:sz w:val="28"/>
        </w:rPr>
        <w:t xml:space="preserve">договор </w:t>
      </w:r>
      <w:r>
        <w:rPr>
          <w:rFonts w:ascii="Times New Roman" w:hAnsi="Times New Roman"/>
          <w:sz w:val="28"/>
        </w:rPr>
        <w:t xml:space="preserve">с </w:t>
      </w:r>
      <w:r>
        <w:rPr>
          <w:rFonts w:ascii="Times New Roman" w:hAnsi="Times New Roman"/>
          <w:sz w:val="28"/>
        </w:rPr>
        <w:t>изменения</w:t>
      </w:r>
      <w:r>
        <w:rPr>
          <w:rFonts w:ascii="Times New Roman" w:hAnsi="Times New Roman"/>
          <w:sz w:val="28"/>
        </w:rPr>
        <w:t>ми</w:t>
      </w:r>
      <w:r>
        <w:rPr>
          <w:rFonts w:ascii="Times New Roman" w:hAnsi="Times New Roman"/>
          <w:sz w:val="28"/>
        </w:rPr>
        <w:t xml:space="preserve"> </w:t>
      </w:r>
      <w:r>
        <w:rPr>
          <w:rFonts w:ascii="Times New Roman" w:hAnsi="Times New Roman"/>
          <w:sz w:val="28"/>
        </w:rPr>
        <w:t xml:space="preserve">и дополнениями </w:t>
      </w:r>
      <w:r>
        <w:rPr>
          <w:rFonts w:ascii="Times New Roman" w:hAnsi="Times New Roman"/>
          <w:sz w:val="28"/>
        </w:rPr>
        <w:t xml:space="preserve">к нему </w:t>
      </w:r>
      <w:r>
        <w:rPr>
          <w:rFonts w:ascii="Times New Roman" w:hAnsi="Times New Roman"/>
          <w:sz w:val="28"/>
        </w:rPr>
        <w:t>(при наличии)</w:t>
      </w:r>
      <w:r>
        <w:rPr>
          <w:rFonts w:ascii="Times New Roman" w:hAnsi="Times New Roman"/>
          <w:sz w:val="28"/>
        </w:rPr>
        <w:t>;</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b w:val="false"/>
          <w:i w:val="false"/>
          <w:caps w:val="false"/>
          <w:smallCaps w:val="false"/>
          <w:color w:val="011C29"/>
          <w:spacing w:val="0"/>
          <w:sz w:val="28"/>
        </w:rPr>
        <w:t>ин</w:t>
      </w:r>
      <w:r>
        <w:rPr>
          <w:rFonts w:ascii="Times New Roman" w:hAnsi="Times New Roman"/>
          <w:b w:val="false"/>
          <w:i w:val="false"/>
          <w:caps w:val="false"/>
          <w:smallCaps w:val="false"/>
          <w:color w:val="011C29"/>
          <w:spacing w:val="0"/>
          <w:sz w:val="28"/>
        </w:rPr>
        <w:t>ые</w:t>
      </w:r>
      <w:r>
        <w:rPr>
          <w:rFonts w:ascii="Times New Roman" w:hAnsi="Times New Roman"/>
          <w:b w:val="false"/>
          <w:i w:val="false"/>
          <w:caps w:val="false"/>
          <w:smallCaps w:val="false"/>
          <w:color w:val="011C29"/>
          <w:spacing w:val="0"/>
          <w:sz w:val="28"/>
        </w:rPr>
        <w:t xml:space="preserve"> информаци</w:t>
      </w:r>
      <w:r>
        <w:rPr>
          <w:rFonts w:ascii="Times New Roman" w:hAnsi="Times New Roman"/>
          <w:b w:val="false"/>
          <w:i w:val="false"/>
          <w:caps w:val="false"/>
          <w:smallCaps w:val="false"/>
          <w:color w:val="011C29"/>
          <w:spacing w:val="0"/>
          <w:sz w:val="28"/>
        </w:rPr>
        <w:t>я и документы</w:t>
      </w:r>
      <w:r>
        <w:rPr>
          <w:rFonts w:ascii="Times New Roman" w:hAnsi="Times New Roman"/>
          <w:b w:val="false"/>
          <w:i w:val="false"/>
          <w:caps w:val="false"/>
          <w:smallCaps w:val="false"/>
          <w:color w:val="011C29"/>
          <w:spacing w:val="0"/>
          <w:sz w:val="28"/>
        </w:rPr>
        <w:t>, котор</w:t>
      </w:r>
      <w:r>
        <w:rPr>
          <w:rFonts w:ascii="Times New Roman" w:hAnsi="Times New Roman"/>
          <w:b w:val="false"/>
          <w:i w:val="false"/>
          <w:caps w:val="false"/>
          <w:smallCaps w:val="false"/>
          <w:color w:val="011C29"/>
          <w:spacing w:val="0"/>
          <w:sz w:val="28"/>
        </w:rPr>
        <w:t>ые</w:t>
      </w:r>
      <w:r>
        <w:rPr>
          <w:rFonts w:ascii="Times New Roman" w:hAnsi="Times New Roman"/>
          <w:b w:val="false"/>
          <w:i w:val="false"/>
          <w:caps w:val="false"/>
          <w:smallCaps w:val="false"/>
          <w:color w:val="011C29"/>
          <w:spacing w:val="0"/>
          <w:sz w:val="28"/>
        </w:rPr>
        <w:t xml:space="preserve"> заказчик считает необходим</w:t>
      </w:r>
      <w:r>
        <w:rPr>
          <w:rFonts w:ascii="Times New Roman" w:hAnsi="Times New Roman"/>
          <w:b w:val="false"/>
          <w:i w:val="false"/>
          <w:caps w:val="false"/>
          <w:smallCaps w:val="false"/>
          <w:color w:val="011C29"/>
          <w:spacing w:val="0"/>
          <w:sz w:val="28"/>
        </w:rPr>
        <w:t>ыми</w:t>
      </w:r>
      <w:r>
        <w:rPr>
          <w:rFonts w:ascii="Times New Roman" w:hAnsi="Times New Roman"/>
          <w:b w:val="false"/>
          <w:i w:val="false"/>
          <w:caps w:val="false"/>
          <w:smallCaps w:val="false"/>
          <w:color w:val="011C29"/>
          <w:spacing w:val="0"/>
          <w:sz w:val="28"/>
        </w:rPr>
        <w:t>.</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Закупка у единственного поставщика по Закону № 223-ФЗ является легальным и удобным инструментом, но требует от заказчика взвешенного подхода и тщательного документального оформления. В последние годы идет тенденция смещения акцента с формального наличия случаев осуществления закупки у единственного поставщика в положении о закупке на реальное обоснование невозможности или нецелесообразности проведения конкурентной процедуры.</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Соблюдение настоящих методических рекомендаций, учет позиций ФАС и судов позволят заказчику не только избежать штрафов и предписаний, но и выстроить более эффективную и прозрачную систему закупок, устойчивую к судебным и административным рискам.</w:t>
      </w:r>
    </w:p>
    <w:p>
      <w:pPr>
        <w:pStyle w:val="Normal"/>
        <w:widowControl/>
        <w:spacing w:lineRule="auto" w:line="240"/>
        <w:ind w:firstLine="709" w:left="0" w:right="0"/>
        <w:jc w:val="both"/>
        <w:rPr>
          <w:rFonts w:ascii="Times New Roman" w:hAnsi="Times New Roman"/>
          <w:sz w:val="28"/>
        </w:rPr>
      </w:pPr>
      <w:r>
        <w:rPr>
          <w:rFonts w:ascii="Times New Roman" w:hAnsi="Times New Roman"/>
          <w:sz w:val="28"/>
        </w:rPr>
        <w:t xml:space="preserve">По итогам проведенного анализа судебной и административной практики в части </w:t>
      </w:r>
      <w:r>
        <w:rPr>
          <w:rFonts w:ascii="Times New Roman" w:hAnsi="Times New Roman"/>
          <w:sz w:val="28"/>
        </w:rPr>
        <w:t xml:space="preserve">содержания положения о закупке и </w:t>
      </w:r>
      <w:r>
        <w:rPr>
          <w:rFonts w:ascii="Times New Roman" w:hAnsi="Times New Roman"/>
          <w:sz w:val="28"/>
        </w:rPr>
        <w:t>осуществления закупок товаров, работ, услуг у единственного поставщика можно обозначить следующие рекомендации: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при формировании перечня случаев осуществления закупок у единственного поставщика следует руководствоваться критериями целесообразности и экономической эффективности, необходимостью обеспечения принципов равноправия, справедливости, отсутствия дискриминации и необоснованных ограничений конкуренции по отношению к участникам закупки;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предусмотреть в положении о закупке перечень объективных причин (условий, оснований) закупки у единственного поставщика;</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заключать договоры с единственным поставщиком: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а) в случаях невозможности и (или) нецелесообразности проведения закупок конкурентными способами, в случае признания закупки несостоявшейся  (например, сравнение цен, затрат на проведение процедуры закупки, анализ рынка, уникальность продукции, подтвержденная документально и т. п.);</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б) вследствие устранения последствий произошедшей аварии, обстоятельств непреодолимой силы только при наличии конкретных доказательств того, что без оперативного вмешательства возможно возникновение чрезвычайной ситуации, создающей угрозу жизни и здоровью людей и приводящей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 (акт, которым введен режим ЧС, предписания госорганов, акты осмотра и т. п.);</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в) вследствие признания закупки несостоявшейся на условиях извещения, документации о такой закупки;</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не допускать дробление закупок (например, если работы технологически связаны (монтаж системы вентиляции во всем здании и т.п.), не дробить по этажам или комнатам; не заключать несколько договоров с одним поставщиком на идентичных условиях (предмет договора, цена, сроки) в один день и т.п.). Если все же требуется з</w:t>
      </w:r>
      <w:r>
        <w:rPr>
          <w:rFonts w:ascii="Times New Roman" w:hAnsi="Times New Roman"/>
          <w:b w:val="false"/>
          <w:i w:val="false"/>
          <w:caps w:val="false"/>
          <w:smallCaps w:val="false"/>
          <w:strike w:val="false"/>
          <w:dstrike w:val="false"/>
          <w:shadow w:val="false"/>
          <w:color w:val="000000"/>
          <w:spacing w:val="0"/>
          <w:sz w:val="28"/>
          <w:u w:val="none"/>
        </w:rPr>
        <w:t>аключить несколько мелких договоров с единственным поставщиком, постарайтесь разнести их по времени (например, один договор в январе, второй — в марте). Необходимо документально обосновывать, что каждая конкретная потребность возникла именно в момент заключения соответствующего договора, а не могла быть изначально запланирована как единая закупка. Иначе искусственное разделение единой потребности на части, в том числе с разнесением по времени, может быть квалифицировано как злоупотребление правом;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оформлять служебную записку или протокол с обоснованием, почему договор заключается с единственным поставщиком;</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обеспечивать объективный расчет цены договора, соблюдая нормы положения о закупке и избегая избирательного сбора данных;</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соблюдать годовые лимиты закупок у единственного поставщика, установленные положением о закупке;</w:t>
      </w:r>
    </w:p>
    <w:p>
      <w:pPr>
        <w:pStyle w:val="Normal"/>
        <w:widowControl/>
        <w:spacing w:lineRule="auto" w:line="240" w:before="0" w:after="0"/>
        <w:ind w:firstLine="709" w:left="0" w:right="0"/>
        <w:jc w:val="both"/>
        <w:rPr>
          <w:rFonts w:ascii="Times New Roman" w:hAnsi="Times New Roman"/>
          <w:sz w:val="28"/>
        </w:rPr>
      </w:pPr>
      <w:r>
        <w:rPr>
          <w:rFonts w:ascii="Times New Roman" w:hAnsi="Times New Roman"/>
          <w:sz w:val="28"/>
        </w:rPr>
        <w:t>при осуществлении закупок не допускать конфликта интересов и личной заинтересованности руководителя или сотрудника заказчика, ответственного за осуществление закупок, члена закупочной комиссии, проверять не является ли поставщик аффилированным лицом.</w:t>
      </w:r>
    </w:p>
    <w:sectPr>
      <w:headerReference w:type="even" r:id="rId2"/>
      <w:headerReference w:type="default" r:id="rId3"/>
      <w:headerReference w:type="first" r:id="rId4"/>
      <w:type w:val="nextPage"/>
      <w:pgSz w:w="11906" w:h="16838"/>
      <w:pgMar w:left="1701" w:right="567" w:gutter="0" w:header="1134" w:top="1560"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Droid Sans">
    <w:charset w:val="01"/>
    <w:family w:val="roman"/>
    <w:pitch w:val="variable"/>
  </w:font>
  <w:font w:name="XO Thames">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Liberation Sans">
    <w:altName w:val="Arial"/>
    <w:charset w:val="01"/>
    <w:family w:val="swiss"/>
    <w:pitch w:val="variable"/>
  </w:font>
  <w:font w:name="Times New Roman">
    <w:charset w:val="01"/>
    <w:family w:val="roman"/>
    <w:pitch w:val="variable"/>
  </w:font>
  <w:font w:name="quote-cjk-patch">
    <w:altName w:val="Inter"/>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jc w:val="center"/>
      <w:rPr>
        <w:rFonts w:ascii="Times New Roman" w:hAnsi="Times New Roman"/>
        <w:sz w:val="28"/>
        <w:shd w:fill="FFFFFF" w:val="clear"/>
      </w:rPr>
    </w:pPr>
    <w:r>
      <w:rPr>
        <w:rFonts w:ascii="Times New Roman" w:hAnsi="Times New Roman"/>
        <w:sz w:val="28"/>
        <w:shd w:fill="FFFFFF" w:val="clear"/>
      </w:rPr>
      <w:fldChar w:fldCharType="begin"/>
    </w:r>
    <w:r>
      <w:rPr>
        <w:sz w:val="28"/>
        <w:shd w:fill="FFFFFF" w:val="clear"/>
        <w:rFonts w:ascii="Times New Roman" w:hAnsi="Times New Roman"/>
      </w:rPr>
      <w:instrText xml:space="preserve"> PAGE </w:instrText>
    </w:r>
    <w:r>
      <w:rPr>
        <w:sz w:val="28"/>
        <w:shd w:fill="FFFFFF" w:val="clear"/>
        <w:rFonts w:ascii="Times New Roman" w:hAnsi="Times New Roman"/>
      </w:rPr>
      <w:fldChar w:fldCharType="separate"/>
    </w:r>
    <w:r>
      <w:rPr>
        <w:sz w:val="28"/>
        <w:shd w:fill="FFFFFF" w:val="clear"/>
        <w:rFonts w:ascii="Times New Roman" w:hAnsi="Times New Roman"/>
      </w:rPr>
      <w:t>25</w:t>
    </w:r>
    <w:r>
      <w:rPr>
        <w:sz w:val="28"/>
        <w:shd w:fill="FFFFFF" w:val="clear"/>
        <w:rFonts w:ascii="Times New Roman" w:hAnsi="Times New Roman"/>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Droid Sans"/>
        <w:color w:val="000000"/>
        <w:sz w:val="22"/>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tLeast" w:line="200" w:before="0" w:after="0"/>
      <w:ind w:hanging="0" w:left="0" w:right="0"/>
      <w:jc w:val="left"/>
    </w:pPr>
    <w:rPr>
      <w:rFonts w:ascii="Droid Sans" w:hAnsi="Droid Sans" w:eastAsia="Tahoma" w:cs="Droid Sans"/>
      <w:b w:val="false"/>
      <w:i w:val="false"/>
      <w:caps w:val="false"/>
      <w:smallCaps w:val="false"/>
      <w:strike w:val="false"/>
      <w:dstrike w:val="false"/>
      <w:shadow w:val="false"/>
      <w:color w:val="000000"/>
      <w:spacing w:val="0"/>
      <w:kern w:val="0"/>
      <w:sz w:val="36"/>
      <w:szCs w:val="20"/>
      <w:u w:val="none"/>
      <w:lang w:val="ru-RU" w:eastAsia="zh-CN" w:bidi="hi-IN"/>
    </w:rPr>
  </w:style>
  <w:style w:type="paragraph" w:styleId="Heading1">
    <w:name w:val="heading 1"/>
    <w:next w:val="Normal"/>
    <w:qFormat/>
    <w:pPr>
      <w:widowControl/>
      <w:suppressAutoHyphens w:val="true"/>
      <w:overflowPunct w:val="true"/>
      <w:bidi w:val="0"/>
      <w:spacing w:lineRule="auto" w:line="240" w:before="120" w:after="120"/>
      <w:ind w:hanging="0" w:left="0" w:right="0"/>
      <w:jc w:val="both"/>
      <w:outlineLvl w:val="0"/>
    </w:pPr>
    <w:rPr>
      <w:rFonts w:ascii="XO Thames" w:hAnsi="XO Thames" w:eastAsia="Tahoma" w:cs="Droid Sans"/>
      <w:b/>
      <w:color w:val="000000"/>
      <w:spacing w:val="0"/>
      <w:kern w:val="0"/>
      <w:sz w:val="32"/>
      <w:szCs w:val="20"/>
      <w:lang w:val="ru-RU" w:eastAsia="zh-CN" w:bidi="hi-IN"/>
    </w:rPr>
  </w:style>
  <w:style w:type="paragraph" w:styleId="Heading2">
    <w:name w:val="heading 2"/>
    <w:next w:val="Normal"/>
    <w:qFormat/>
    <w:pPr>
      <w:widowControl/>
      <w:suppressAutoHyphens w:val="true"/>
      <w:overflowPunct w:val="true"/>
      <w:bidi w:val="0"/>
      <w:spacing w:lineRule="auto" w:line="240" w:before="120" w:after="120"/>
      <w:ind w:hanging="0" w:left="0" w:right="0"/>
      <w:jc w:val="both"/>
      <w:outlineLvl w:val="1"/>
    </w:pPr>
    <w:rPr>
      <w:rFonts w:ascii="XO Thames" w:hAnsi="XO Thames" w:eastAsia="Tahoma" w:cs="Droid Sans"/>
      <w:b/>
      <w:color w:val="000000"/>
      <w:spacing w:val="0"/>
      <w:kern w:val="0"/>
      <w:sz w:val="28"/>
      <w:szCs w:val="20"/>
      <w:lang w:val="ru-RU" w:eastAsia="zh-CN" w:bidi="hi-IN"/>
    </w:rPr>
  </w:style>
  <w:style w:type="paragraph" w:styleId="Heading3">
    <w:name w:val="heading 3"/>
    <w:next w:val="Normal"/>
    <w:qFormat/>
    <w:pPr>
      <w:widowControl/>
      <w:suppressAutoHyphens w:val="true"/>
      <w:overflowPunct w:val="true"/>
      <w:bidi w:val="0"/>
      <w:spacing w:lineRule="auto" w:line="240" w:before="120" w:after="120"/>
      <w:ind w:hanging="0" w:left="0" w:right="0"/>
      <w:jc w:val="both"/>
      <w:outlineLvl w:val="2"/>
    </w:pPr>
    <w:rPr>
      <w:rFonts w:ascii="XO Thames" w:hAnsi="XO Thames" w:eastAsia="Tahoma" w:cs="Droid Sans"/>
      <w:b/>
      <w:color w:val="000000"/>
      <w:spacing w:val="0"/>
      <w:kern w:val="0"/>
      <w:sz w:val="26"/>
      <w:szCs w:val="20"/>
      <w:lang w:val="ru-RU" w:eastAsia="zh-CN" w:bidi="hi-IN"/>
    </w:rPr>
  </w:style>
  <w:style w:type="paragraph" w:styleId="Heading4">
    <w:name w:val="heading 4"/>
    <w:next w:val="Normal"/>
    <w:qFormat/>
    <w:pPr>
      <w:widowControl/>
      <w:suppressAutoHyphens w:val="true"/>
      <w:overflowPunct w:val="true"/>
      <w:bidi w:val="0"/>
      <w:spacing w:lineRule="auto" w:line="240" w:before="120" w:after="120"/>
      <w:ind w:hanging="0" w:left="0" w:right="0"/>
      <w:jc w:val="both"/>
      <w:outlineLvl w:val="3"/>
    </w:pPr>
    <w:rPr>
      <w:rFonts w:ascii="XO Thames" w:hAnsi="XO Thames" w:eastAsia="Tahoma" w:cs="Droid Sans"/>
      <w:b/>
      <w:color w:val="000000"/>
      <w:spacing w:val="0"/>
      <w:kern w:val="0"/>
      <w:sz w:val="24"/>
      <w:szCs w:val="20"/>
      <w:lang w:val="ru-RU" w:eastAsia="zh-CN" w:bidi="hi-IN"/>
    </w:rPr>
  </w:style>
  <w:style w:type="paragraph" w:styleId="Heading5">
    <w:name w:val="heading 5"/>
    <w:next w:val="Normal"/>
    <w:qFormat/>
    <w:pPr>
      <w:widowControl/>
      <w:suppressAutoHyphens w:val="true"/>
      <w:overflowPunct w:val="true"/>
      <w:bidi w:val="0"/>
      <w:spacing w:lineRule="auto" w:line="240" w:before="120" w:after="120"/>
      <w:ind w:hanging="0" w:left="0" w:right="0"/>
      <w:jc w:val="both"/>
      <w:outlineLvl w:val="4"/>
    </w:pPr>
    <w:rPr>
      <w:rFonts w:ascii="XO Thames" w:hAnsi="XO Thames" w:eastAsia="Tahoma" w:cs="Droid Sans"/>
      <w:b/>
      <w:color w:val="000000"/>
      <w:spacing w:val="0"/>
      <w:kern w:val="0"/>
      <w:sz w:val="22"/>
      <w:szCs w:val="20"/>
      <w:lang w:val="ru-RU" w:eastAsia="zh-CN" w:bidi="hi-IN"/>
    </w:rPr>
  </w:style>
  <w:style w:type="character" w:styleId="Subtitle2">
    <w:name w:val="Subtitle2"/>
    <w:link w:val="Subtitle21"/>
    <w:qFormat/>
    <w:rPr>
      <w:rFonts w:ascii="XO Thames" w:hAnsi="XO Thames"/>
      <w:i/>
      <w:color w:val="000000"/>
      <w:spacing w:val="0"/>
      <w:sz w:val="24"/>
    </w:rPr>
  </w:style>
  <w:style w:type="character" w:styleId="Heading11211">
    <w:name w:val="Heading 11211"/>
    <w:link w:val="Heading112111"/>
    <w:qFormat/>
    <w:rPr>
      <w:rFonts w:ascii="XO Thames" w:hAnsi="XO Thames"/>
      <w:b/>
      <w:color w:val="000000"/>
      <w:spacing w:val="0"/>
      <w:sz w:val="32"/>
    </w:rPr>
  </w:style>
  <w:style w:type="character" w:styleId="1111">
    <w:name w:val="Маркеры1111"/>
    <w:link w:val="111111"/>
    <w:qFormat/>
    <w:rPr>
      <w:rFonts w:ascii="OpenSymbol" w:hAnsi="OpenSymbol"/>
      <w:color w:val="000000"/>
      <w:spacing w:val="0"/>
      <w:sz w:val="22"/>
    </w:rPr>
  </w:style>
  <w:style w:type="character" w:styleId="Contents2">
    <w:name w:val="Contents 2"/>
    <w:qFormat/>
    <w:rPr>
      <w:rFonts w:ascii="XO Thames" w:hAnsi="XO Thames"/>
      <w:color w:val="000000"/>
      <w:spacing w:val="0"/>
      <w:sz w:val="28"/>
    </w:rPr>
  </w:style>
  <w:style w:type="character" w:styleId="Heading42">
    <w:name w:val="Heading 42"/>
    <w:link w:val="Heading421"/>
    <w:qFormat/>
    <w:rPr>
      <w:rFonts w:ascii="XO Thames" w:hAnsi="XO Thames"/>
      <w:b/>
      <w:color w:val="000000"/>
      <w:spacing w:val="0"/>
      <w:sz w:val="24"/>
    </w:rPr>
  </w:style>
  <w:style w:type="character" w:styleId="Contents231">
    <w:name w:val="Contents 231"/>
    <w:link w:val="Contents2311"/>
    <w:qFormat/>
    <w:rPr>
      <w:rFonts w:ascii="XO Thames" w:hAnsi="XO Thames"/>
      <w:color w:val="000000"/>
      <w:spacing w:val="0"/>
      <w:sz w:val="28"/>
    </w:rPr>
  </w:style>
  <w:style w:type="character" w:styleId="Contents631">
    <w:name w:val="Contents 631"/>
    <w:link w:val="Contents6311"/>
    <w:qFormat/>
    <w:rPr>
      <w:rFonts w:ascii="XO Thames" w:hAnsi="XO Thames"/>
      <w:color w:val="000000"/>
      <w:spacing w:val="0"/>
      <w:sz w:val="28"/>
    </w:rPr>
  </w:style>
  <w:style w:type="character" w:styleId="Caption111">
    <w:name w:val="Caption111"/>
    <w:link w:val="Caption1111"/>
    <w:qFormat/>
    <w:rPr>
      <w:rFonts w:ascii="Calibri" w:hAnsi="Calibri"/>
      <w:i/>
      <w:color w:val="000000"/>
      <w:spacing w:val="0"/>
      <w:sz w:val="24"/>
    </w:rPr>
  </w:style>
  <w:style w:type="character" w:styleId="Contents9">
    <w:name w:val="Contents 9"/>
    <w:link w:val="Contents93"/>
    <w:qFormat/>
    <w:rPr>
      <w:rFonts w:ascii="XO Thames" w:hAnsi="XO Thames"/>
      <w:color w:val="000000"/>
      <w:spacing w:val="0"/>
      <w:sz w:val="28"/>
    </w:rPr>
  </w:style>
  <w:style w:type="character" w:styleId="Contents4">
    <w:name w:val="Contents 4"/>
    <w:qFormat/>
    <w:rPr>
      <w:rFonts w:ascii="XO Thames" w:hAnsi="XO Thames"/>
      <w:color w:val="000000"/>
      <w:spacing w:val="0"/>
      <w:sz w:val="28"/>
    </w:rPr>
  </w:style>
  <w:style w:type="character" w:styleId="StrongEmphasis1">
    <w:name w:val="Strong Emphasis1"/>
    <w:link w:val="StrongEmphasis11"/>
    <w:qFormat/>
    <w:rPr>
      <w:rFonts w:ascii="Calibri" w:hAnsi="Calibri"/>
      <w:b/>
      <w:color w:val="000000"/>
      <w:spacing w:val="0"/>
      <w:sz w:val="22"/>
    </w:rPr>
  </w:style>
  <w:style w:type="character" w:styleId="11111">
    <w:name w:val="Нижний колонтитул Знак1111"/>
    <w:basedOn w:val="DefaultParagraphFont1111"/>
    <w:link w:val="111112"/>
    <w:qFormat/>
    <w:rPr/>
  </w:style>
  <w:style w:type="character" w:styleId="Title1111">
    <w:name w:val="Title1111"/>
    <w:link w:val="Title11111"/>
    <w:qFormat/>
    <w:rPr>
      <w:rFonts w:ascii="XO Thames" w:hAnsi="XO Thames"/>
      <w:b/>
      <w:caps/>
      <w:color w:val="000000"/>
      <w:spacing w:val="0"/>
      <w:sz w:val="40"/>
    </w:rPr>
  </w:style>
  <w:style w:type="character" w:styleId="Contents6">
    <w:name w:val="Contents 6"/>
    <w:qFormat/>
    <w:rPr>
      <w:rFonts w:ascii="XO Thames" w:hAnsi="XO Thames"/>
      <w:color w:val="000000"/>
      <w:spacing w:val="0"/>
      <w:sz w:val="28"/>
    </w:rPr>
  </w:style>
  <w:style w:type="character" w:styleId="Contents7">
    <w:name w:val="Contents 7"/>
    <w:qFormat/>
    <w:rPr>
      <w:rFonts w:ascii="XO Thames" w:hAnsi="XO Thames"/>
      <w:color w:val="000000"/>
      <w:spacing w:val="0"/>
      <w:sz w:val="28"/>
    </w:rPr>
  </w:style>
  <w:style w:type="character" w:styleId="Footnote2">
    <w:name w:val="Footnote2"/>
    <w:link w:val="Footnote21"/>
    <w:qFormat/>
    <w:rPr>
      <w:rFonts w:ascii="XO Thames" w:hAnsi="XO Thames"/>
      <w:color w:val="000000"/>
      <w:spacing w:val="0"/>
      <w:sz w:val="22"/>
    </w:rPr>
  </w:style>
  <w:style w:type="character" w:styleId="Title211">
    <w:name w:val="Title211"/>
    <w:link w:val="Title2111"/>
    <w:qFormat/>
    <w:rPr>
      <w:rFonts w:ascii="XO Thames" w:hAnsi="XO Thames"/>
      <w:b/>
      <w:caps/>
      <w:color w:val="000000"/>
      <w:spacing w:val="0"/>
      <w:sz w:val="40"/>
    </w:rPr>
  </w:style>
  <w:style w:type="character" w:styleId="Contents4211">
    <w:name w:val="Contents 4211"/>
    <w:link w:val="Contents42111"/>
    <w:qFormat/>
    <w:rPr>
      <w:rFonts w:ascii="XO Thames" w:hAnsi="XO Thames"/>
      <w:color w:val="000000"/>
      <w:spacing w:val="0"/>
      <w:sz w:val="28"/>
    </w:rPr>
  </w:style>
  <w:style w:type="character" w:styleId="211">
    <w:name w:val="Указатель211"/>
    <w:link w:val="21111"/>
    <w:qFormat/>
    <w:rPr/>
  </w:style>
  <w:style w:type="character" w:styleId="Textbody">
    <w:name w:val="Text body"/>
    <w:qFormat/>
    <w:rPr/>
  </w:style>
  <w:style w:type="character" w:styleId="Contents831">
    <w:name w:val="Contents 831"/>
    <w:link w:val="Contents8311"/>
    <w:qFormat/>
    <w:rPr>
      <w:rFonts w:ascii="XO Thames" w:hAnsi="XO Thames"/>
      <w:color w:val="000000"/>
      <w:spacing w:val="0"/>
      <w:sz w:val="28"/>
    </w:rPr>
  </w:style>
  <w:style w:type="character" w:styleId="Heading31211">
    <w:name w:val="Heading 31211"/>
    <w:link w:val="Heading312111"/>
    <w:qFormat/>
    <w:rPr>
      <w:rFonts w:ascii="XO Thames" w:hAnsi="XO Thames"/>
      <w:b/>
      <w:color w:val="000000"/>
      <w:spacing w:val="0"/>
      <w:sz w:val="26"/>
    </w:rPr>
  </w:style>
  <w:style w:type="character" w:styleId="Caption1">
    <w:name w:val="Caption1"/>
    <w:link w:val="Caption11"/>
    <w:qFormat/>
    <w:rPr>
      <w:i/>
      <w:sz w:val="24"/>
    </w:rPr>
  </w:style>
  <w:style w:type="character" w:styleId="11112">
    <w:name w:val="Колонтитулы1111"/>
    <w:link w:val="111113"/>
    <w:qFormat/>
    <w:rPr>
      <w:rFonts w:ascii="XO Thames" w:hAnsi="XO Thames"/>
      <w:color w:val="000000"/>
      <w:spacing w:val="0"/>
      <w:sz w:val="28"/>
    </w:rPr>
  </w:style>
  <w:style w:type="character" w:styleId="Emphasis">
    <w:name w:val="Emphasis"/>
    <w:qFormat/>
    <w:rPr>
      <w:i/>
    </w:rPr>
  </w:style>
  <w:style w:type="character" w:styleId="Heading51111">
    <w:name w:val="Heading 51111"/>
    <w:link w:val="Heading511111"/>
    <w:qFormat/>
    <w:rPr>
      <w:rFonts w:ascii="XO Thames" w:hAnsi="XO Thames"/>
      <w:b/>
      <w:color w:val="000000"/>
      <w:spacing w:val="0"/>
      <w:sz w:val="22"/>
    </w:rPr>
  </w:style>
  <w:style w:type="character" w:styleId="EndnoteSymbol111">
    <w:name w:val="Endnote Symbol111"/>
    <w:link w:val="EndnoteSymbol1111"/>
    <w:qFormat/>
    <w:rPr>
      <w:rFonts w:ascii="Calibri" w:hAnsi="Calibri"/>
      <w:color w:val="000000"/>
      <w:spacing w:val="0"/>
      <w:sz w:val="22"/>
      <w:vertAlign w:val="superscript"/>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color w:val="000000"/>
      <w:spacing w:val="0"/>
      <w:sz w:val="26"/>
    </w:rPr>
  </w:style>
  <w:style w:type="character" w:styleId="Contents5111">
    <w:name w:val="Contents 5111"/>
    <w:link w:val="Contents51111"/>
    <w:qFormat/>
    <w:rPr>
      <w:rFonts w:ascii="XO Thames" w:hAnsi="XO Thames"/>
      <w:color w:val="000000"/>
      <w:spacing w:val="0"/>
      <w:sz w:val="28"/>
    </w:rPr>
  </w:style>
  <w:style w:type="character" w:styleId="1">
    <w:name w:val="Колонтитулы1"/>
    <w:link w:val="114"/>
    <w:qFormat/>
    <w:rPr>
      <w:rFonts w:ascii="XO Thames" w:hAnsi="XO Thames"/>
      <w:color w:val="000000"/>
      <w:spacing w:val="0"/>
      <w:sz w:val="28"/>
    </w:rPr>
  </w:style>
  <w:style w:type="character" w:styleId="Contents31">
    <w:name w:val="Contents 31"/>
    <w:link w:val="Contents311"/>
    <w:qFormat/>
    <w:rPr>
      <w:rFonts w:ascii="XO Thames" w:hAnsi="XO Thames"/>
      <w:color w:val="000000"/>
      <w:spacing w:val="0"/>
      <w:sz w:val="28"/>
    </w:rPr>
  </w:style>
  <w:style w:type="character" w:styleId="FootnoteSymbol2">
    <w:name w:val="Footnote Symbol2"/>
    <w:link w:val="FootnoteSymbol21"/>
    <w:qFormat/>
    <w:rPr>
      <w:rFonts w:ascii="Calibri" w:hAnsi="Calibri"/>
      <w:color w:val="000000"/>
      <w:spacing w:val="0"/>
      <w:sz w:val="22"/>
      <w:vertAlign w:val="superscript"/>
    </w:rPr>
  </w:style>
  <w:style w:type="character" w:styleId="StrongEmphasis211">
    <w:name w:val="Strong Emphasis211"/>
    <w:link w:val="StrongEmphasis2111"/>
    <w:qFormat/>
    <w:rPr>
      <w:rFonts w:ascii="Calibri" w:hAnsi="Calibri"/>
      <w:b/>
      <w:color w:val="000000"/>
      <w:spacing w:val="0"/>
      <w:sz w:val="22"/>
    </w:rPr>
  </w:style>
  <w:style w:type="character" w:styleId="Contents3211">
    <w:name w:val="Contents 3211"/>
    <w:link w:val="Contents32111"/>
    <w:qFormat/>
    <w:rPr>
      <w:rFonts w:ascii="XO Thames" w:hAnsi="XO Thames"/>
      <w:color w:val="000000"/>
      <w:spacing w:val="0"/>
      <w:sz w:val="28"/>
    </w:rPr>
  </w:style>
  <w:style w:type="character" w:styleId="Contents431">
    <w:name w:val="Contents 431"/>
    <w:link w:val="Contents4311"/>
    <w:qFormat/>
    <w:rPr>
      <w:rFonts w:ascii="XO Thames" w:hAnsi="XO Thames"/>
      <w:color w:val="000000"/>
      <w:spacing w:val="0"/>
      <w:sz w:val="28"/>
    </w:rPr>
  </w:style>
  <w:style w:type="character" w:styleId="Contents32">
    <w:name w:val="Contents 32"/>
    <w:link w:val="Contents321"/>
    <w:qFormat/>
    <w:rPr>
      <w:rFonts w:ascii="XO Thames" w:hAnsi="XO Thames"/>
      <w:color w:val="000000"/>
      <w:spacing w:val="0"/>
      <w:sz w:val="28"/>
    </w:rPr>
  </w:style>
  <w:style w:type="character" w:styleId="Heading22">
    <w:name w:val="Heading 22"/>
    <w:link w:val="Heading221"/>
    <w:qFormat/>
    <w:rPr>
      <w:rFonts w:ascii="XO Thames" w:hAnsi="XO Thames"/>
      <w:b/>
      <w:color w:val="000000"/>
      <w:spacing w:val="0"/>
      <w:sz w:val="28"/>
    </w:rPr>
  </w:style>
  <w:style w:type="character" w:styleId="Footer1111">
    <w:name w:val="Footer1111"/>
    <w:link w:val="Footer11111"/>
    <w:qFormat/>
    <w:rPr>
      <w:rFonts w:ascii="Calibri" w:hAnsi="Calibri"/>
      <w:color w:val="000000"/>
      <w:spacing w:val="0"/>
      <w:sz w:val="22"/>
    </w:rPr>
  </w:style>
  <w:style w:type="character" w:styleId="2111">
    <w:name w:val="Колонтитулы211"/>
    <w:link w:val="21112"/>
    <w:qFormat/>
    <w:rPr/>
  </w:style>
  <w:style w:type="character" w:styleId="11113">
    <w:name w:val="Текст сноски Знак1111"/>
    <w:basedOn w:val="DefaultParagraphFont1111"/>
    <w:link w:val="111114"/>
    <w:qFormat/>
    <w:rPr>
      <w:sz w:val="20"/>
    </w:rPr>
  </w:style>
  <w:style w:type="character" w:styleId="Subtitle11">
    <w:name w:val="Subtitle11"/>
    <w:link w:val="Subtitle111"/>
    <w:qFormat/>
    <w:rPr>
      <w:rFonts w:ascii="XO Thames" w:hAnsi="XO Thames"/>
      <w:i/>
      <w:color w:val="000000"/>
      <w:spacing w:val="0"/>
      <w:sz w:val="24"/>
    </w:rPr>
  </w:style>
  <w:style w:type="character" w:styleId="Textbody1">
    <w:name w:val="Text body1"/>
    <w:link w:val="Textbody3"/>
    <w:qFormat/>
    <w:rPr/>
  </w:style>
  <w:style w:type="character" w:styleId="Contents41">
    <w:name w:val="Contents 41"/>
    <w:link w:val="Contents43"/>
    <w:qFormat/>
    <w:rPr>
      <w:rFonts w:ascii="XO Thames" w:hAnsi="XO Thames"/>
      <w:color w:val="000000"/>
      <w:spacing w:val="0"/>
      <w:sz w:val="28"/>
    </w:rPr>
  </w:style>
  <w:style w:type="character" w:styleId="Heading1131">
    <w:name w:val="Heading 1131"/>
    <w:link w:val="Heading11311"/>
    <w:qFormat/>
    <w:rPr>
      <w:rFonts w:ascii="XO Thames" w:hAnsi="XO Thames"/>
      <w:b/>
      <w:color w:val="000000"/>
      <w:spacing w:val="0"/>
      <w:sz w:val="32"/>
    </w:rPr>
  </w:style>
  <w:style w:type="character" w:styleId="Footnote11">
    <w:name w:val="Footnote11"/>
    <w:link w:val="Footnote111"/>
    <w:qFormat/>
    <w:rPr>
      <w:rFonts w:ascii="XO Thames" w:hAnsi="XO Thames"/>
      <w:color w:val="000000"/>
      <w:spacing w:val="0"/>
      <w:sz w:val="22"/>
    </w:rPr>
  </w:style>
  <w:style w:type="character" w:styleId="Header1">
    <w:name w:val="Header1"/>
    <w:link w:val="Header11"/>
    <w:qFormat/>
    <w:rPr/>
  </w:style>
  <w:style w:type="character" w:styleId="Contents72">
    <w:name w:val="Contents 72"/>
    <w:link w:val="Contents721"/>
    <w:qFormat/>
    <w:rPr>
      <w:rFonts w:ascii="XO Thames" w:hAnsi="XO Thames"/>
      <w:color w:val="000000"/>
      <w:spacing w:val="0"/>
      <w:sz w:val="28"/>
    </w:rPr>
  </w:style>
  <w:style w:type="character" w:styleId="Endnote11">
    <w:name w:val="Endnote11"/>
    <w:link w:val="Endnote111"/>
    <w:qFormat/>
    <w:rPr>
      <w:rFonts w:ascii="XO Thames" w:hAnsi="XO Thames"/>
      <w:color w:val="000000"/>
      <w:spacing w:val="0"/>
      <w:sz w:val="22"/>
    </w:rPr>
  </w:style>
  <w:style w:type="character" w:styleId="Title11">
    <w:name w:val="Title11"/>
    <w:link w:val="Title111"/>
    <w:qFormat/>
    <w:rPr>
      <w:rFonts w:ascii="XO Thames" w:hAnsi="XO Thames"/>
      <w:b/>
      <w:caps/>
      <w:color w:val="000000"/>
      <w:spacing w:val="0"/>
      <w:sz w:val="40"/>
    </w:rPr>
  </w:style>
  <w:style w:type="character" w:styleId="Title2">
    <w:name w:val="Title2"/>
    <w:link w:val="Title21"/>
    <w:qFormat/>
    <w:rPr>
      <w:rFonts w:ascii="XO Thames" w:hAnsi="XO Thames"/>
      <w:b/>
      <w:caps/>
      <w:color w:val="000000"/>
      <w:spacing w:val="0"/>
      <w:sz w:val="40"/>
    </w:rPr>
  </w:style>
  <w:style w:type="character" w:styleId="Style9">
    <w:name w:val="Колонтитулы"/>
    <w:link w:val="31"/>
    <w:qFormat/>
    <w:rPr>
      <w:rFonts w:ascii="XO Thames" w:hAnsi="XO Thames"/>
      <w:color w:val="000000"/>
      <w:spacing w:val="0"/>
      <w:sz w:val="28"/>
    </w:rPr>
  </w:style>
  <w:style w:type="character" w:styleId="2112">
    <w:name w:val="Заголовок211"/>
    <w:link w:val="21113"/>
    <w:qFormat/>
    <w:rPr>
      <w:rFonts w:ascii="Liberation Sans" w:hAnsi="Liberation Sans"/>
      <w:sz w:val="28"/>
    </w:rPr>
  </w:style>
  <w:style w:type="character" w:styleId="11">
    <w:name w:val="Символ концевой сноски11"/>
    <w:link w:val="1112"/>
    <w:qFormat/>
    <w:rPr>
      <w:rFonts w:ascii="Calibri" w:hAnsi="Calibri"/>
      <w:color w:val="000000"/>
      <w:spacing w:val="0"/>
      <w:sz w:val="22"/>
      <w:vertAlign w:val="superscript"/>
    </w:rPr>
  </w:style>
  <w:style w:type="character" w:styleId="Heading111">
    <w:name w:val="Heading 111"/>
    <w:link w:val="Heading1111"/>
    <w:qFormat/>
    <w:rPr>
      <w:rFonts w:ascii="XO Thames" w:hAnsi="XO Thames"/>
      <w:b/>
      <w:color w:val="000000"/>
      <w:spacing w:val="0"/>
      <w:sz w:val="32"/>
    </w:rPr>
  </w:style>
  <w:style w:type="character" w:styleId="111">
    <w:name w:val="Указатель11"/>
    <w:link w:val="1113"/>
    <w:qFormat/>
    <w:rPr/>
  </w:style>
  <w:style w:type="character" w:styleId="Heading211">
    <w:name w:val="Heading 211"/>
    <w:link w:val="Heading2111"/>
    <w:qFormat/>
    <w:rPr>
      <w:rFonts w:ascii="XO Thames" w:hAnsi="XO Thames"/>
      <w:b/>
      <w:color w:val="000000"/>
      <w:spacing w:val="0"/>
      <w:sz w:val="28"/>
    </w:rPr>
  </w:style>
  <w:style w:type="character" w:styleId="Header2">
    <w:name w:val="Header2"/>
    <w:qFormat/>
    <w:rPr/>
  </w:style>
  <w:style w:type="character" w:styleId="Footnote1111">
    <w:name w:val="Footnote1111"/>
    <w:link w:val="Footnote11111"/>
    <w:qFormat/>
    <w:rPr>
      <w:sz w:val="20"/>
    </w:rPr>
  </w:style>
  <w:style w:type="character" w:styleId="Footer211">
    <w:name w:val="Footer211"/>
    <w:link w:val="Footer2111"/>
    <w:qFormat/>
    <w:rPr>
      <w:rFonts w:ascii="Calibri" w:hAnsi="Calibri"/>
      <w:color w:val="000000"/>
      <w:spacing w:val="0"/>
      <w:sz w:val="22"/>
    </w:rPr>
  </w:style>
  <w:style w:type="character" w:styleId="Heading511">
    <w:name w:val="Heading 511"/>
    <w:link w:val="Heading5111"/>
    <w:qFormat/>
    <w:rPr>
      <w:rFonts w:ascii="XO Thames" w:hAnsi="XO Thames"/>
      <w:b/>
      <w:color w:val="000000"/>
      <w:spacing w:val="0"/>
      <w:sz w:val="22"/>
    </w:rPr>
  </w:style>
  <w:style w:type="character" w:styleId="11114">
    <w:name w:val="Символ концевой сноски1111"/>
    <w:link w:val="111115"/>
    <w:qFormat/>
    <w:rPr>
      <w:rFonts w:ascii="Calibri" w:hAnsi="Calibri"/>
      <w:color w:val="000000"/>
      <w:spacing w:val="0"/>
      <w:sz w:val="22"/>
      <w:vertAlign w:val="superscript"/>
    </w:rPr>
  </w:style>
  <w:style w:type="character" w:styleId="12">
    <w:name w:val="Указатель1"/>
    <w:link w:val="121"/>
    <w:qFormat/>
    <w:rPr/>
  </w:style>
  <w:style w:type="character" w:styleId="Contents3">
    <w:name w:val="Contents 3"/>
    <w:qFormat/>
    <w:rPr>
      <w:rFonts w:ascii="XO Thames" w:hAnsi="XO Thames"/>
      <w:color w:val="000000"/>
      <w:spacing w:val="0"/>
      <w:sz w:val="28"/>
    </w:rPr>
  </w:style>
  <w:style w:type="character" w:styleId="Contents811">
    <w:name w:val="Contents 811"/>
    <w:link w:val="Contents8111"/>
    <w:qFormat/>
    <w:rPr>
      <w:rFonts w:ascii="XO Thames" w:hAnsi="XO Thames"/>
      <w:color w:val="000000"/>
      <w:spacing w:val="0"/>
      <w:sz w:val="28"/>
    </w:rPr>
  </w:style>
  <w:style w:type="character" w:styleId="Endnote2">
    <w:name w:val="Endnote2"/>
    <w:link w:val="Endnote21"/>
    <w:qFormat/>
    <w:rPr>
      <w:rFonts w:ascii="XO Thames" w:hAnsi="XO Thames"/>
      <w:color w:val="000000"/>
      <w:spacing w:val="0"/>
      <w:sz w:val="22"/>
    </w:rPr>
  </w:style>
  <w:style w:type="character" w:styleId="FootnoteSymbol111">
    <w:name w:val="Footnote Symbol111"/>
    <w:link w:val="FootnoteSymbol1111"/>
    <w:qFormat/>
    <w:rPr>
      <w:rFonts w:ascii="Calibri" w:hAnsi="Calibri"/>
      <w:color w:val="000000"/>
      <w:spacing w:val="0"/>
      <w:sz w:val="22"/>
      <w:vertAlign w:val="superscript"/>
    </w:rPr>
  </w:style>
  <w:style w:type="character" w:styleId="112">
    <w:name w:val="Заголовок11"/>
    <w:link w:val="1114"/>
    <w:qFormat/>
    <w:rPr>
      <w:rFonts w:ascii="Liberation Sans" w:hAnsi="Liberation Sans"/>
      <w:sz w:val="28"/>
    </w:rPr>
  </w:style>
  <w:style w:type="character" w:styleId="Subtitle211">
    <w:name w:val="Subtitle211"/>
    <w:link w:val="Subtitle2111"/>
    <w:qFormat/>
    <w:rPr>
      <w:rFonts w:ascii="XO Thames" w:hAnsi="XO Thames"/>
      <w:i/>
      <w:color w:val="000000"/>
      <w:spacing w:val="0"/>
      <w:sz w:val="24"/>
    </w:rPr>
  </w:style>
  <w:style w:type="character" w:styleId="Footer12">
    <w:name w:val="Footer12"/>
    <w:link w:val="Footer121"/>
    <w:qFormat/>
    <w:rPr>
      <w:rFonts w:ascii="Calibri" w:hAnsi="Calibri"/>
      <w:color w:val="000000"/>
      <w:spacing w:val="0"/>
      <w:sz w:val="22"/>
    </w:rPr>
  </w:style>
  <w:style w:type="character" w:styleId="2">
    <w:name w:val="Колонтитулы2"/>
    <w:link w:val="214"/>
    <w:qFormat/>
    <w:rPr/>
  </w:style>
  <w:style w:type="character" w:styleId="Internetlink111">
    <w:name w:val="Internet link111"/>
    <w:link w:val="Internetlink1111"/>
    <w:qFormat/>
    <w:rPr>
      <w:rFonts w:ascii="Calibri" w:hAnsi="Calibri"/>
      <w:color w:val="000080"/>
      <w:spacing w:val="0"/>
      <w:sz w:val="22"/>
      <w:u w:val="single"/>
    </w:rPr>
  </w:style>
  <w:style w:type="character" w:styleId="Contents12">
    <w:name w:val="Contents 12"/>
    <w:link w:val="Contents121"/>
    <w:qFormat/>
    <w:rPr>
      <w:rFonts w:ascii="XO Thames" w:hAnsi="XO Thames"/>
      <w:b/>
      <w:color w:val="000000"/>
      <w:spacing w:val="0"/>
      <w:sz w:val="28"/>
    </w:rPr>
  </w:style>
  <w:style w:type="character" w:styleId="Caption2">
    <w:name w:val="Caption2"/>
    <w:qFormat/>
    <w:rPr>
      <w:i/>
      <w:sz w:val="24"/>
    </w:rPr>
  </w:style>
  <w:style w:type="character" w:styleId="StrongEmphasis111">
    <w:name w:val="Strong Emphasis111"/>
    <w:link w:val="StrongEmphasis1111"/>
    <w:qFormat/>
    <w:rPr>
      <w:rFonts w:ascii="Calibri" w:hAnsi="Calibri"/>
      <w:b/>
      <w:color w:val="000000"/>
      <w:spacing w:val="0"/>
      <w:sz w:val="22"/>
    </w:rPr>
  </w:style>
  <w:style w:type="character" w:styleId="11115">
    <w:name w:val="Заголовок1111"/>
    <w:link w:val="111116"/>
    <w:qFormat/>
    <w:rPr>
      <w:rFonts w:ascii="Liberation Sans" w:hAnsi="Liberation Sans"/>
      <w:sz w:val="28"/>
    </w:rPr>
  </w:style>
  <w:style w:type="character" w:styleId="Contents9211">
    <w:name w:val="Contents 9211"/>
    <w:link w:val="Contents92111"/>
    <w:qFormat/>
    <w:rPr>
      <w:rFonts w:ascii="XO Thames" w:hAnsi="XO Thames"/>
      <w:color w:val="000000"/>
      <w:spacing w:val="0"/>
      <w:sz w:val="28"/>
    </w:rPr>
  </w:style>
  <w:style w:type="character" w:styleId="11116">
    <w:name w:val="Указатель1111"/>
    <w:link w:val="111117"/>
    <w:qFormat/>
    <w:rPr/>
  </w:style>
  <w:style w:type="character" w:styleId="Contents8211">
    <w:name w:val="Contents 8211"/>
    <w:link w:val="Contents82111"/>
    <w:qFormat/>
    <w:rPr>
      <w:rFonts w:ascii="XO Thames" w:hAnsi="XO Thames"/>
      <w:color w:val="000000"/>
      <w:spacing w:val="0"/>
      <w:sz w:val="28"/>
    </w:rPr>
  </w:style>
  <w:style w:type="character" w:styleId="Heading51">
    <w:name w:val="Heading 51"/>
    <w:qFormat/>
    <w:rPr>
      <w:rFonts w:ascii="XO Thames" w:hAnsi="XO Thames"/>
      <w:b/>
      <w:color w:val="000000"/>
      <w:spacing w:val="0"/>
      <w:sz w:val="22"/>
    </w:rPr>
  </w:style>
  <w:style w:type="character" w:styleId="Internetlink1">
    <w:name w:val="Internet link1"/>
    <w:link w:val="Internetlink11"/>
    <w:qFormat/>
    <w:rPr>
      <w:rFonts w:ascii="Calibri" w:hAnsi="Calibri"/>
      <w:color w:val="000080"/>
      <w:spacing w:val="0"/>
      <w:sz w:val="22"/>
      <w:u w:val="single"/>
    </w:rPr>
  </w:style>
  <w:style w:type="character" w:styleId="Style10">
    <w:name w:val="Символ сноски"/>
    <w:link w:val="16"/>
    <w:qFormat/>
    <w:rPr>
      <w:vertAlign w:val="superscript"/>
    </w:rPr>
  </w:style>
  <w:style w:type="character" w:styleId="FootnoteReference">
    <w:name w:val="footnote reference"/>
    <w:rPr>
      <w:vertAlign w:val="superscript"/>
    </w:rPr>
  </w:style>
  <w:style w:type="character" w:styleId="Header12">
    <w:name w:val="Header12"/>
    <w:link w:val="Header121"/>
    <w:qFormat/>
    <w:rPr>
      <w:rFonts w:ascii="Calibri" w:hAnsi="Calibri"/>
      <w:color w:val="000000"/>
      <w:spacing w:val="0"/>
      <w:sz w:val="22"/>
    </w:rPr>
  </w:style>
  <w:style w:type="character" w:styleId="Heading11">
    <w:name w:val="Heading 11"/>
    <w:qFormat/>
    <w:rPr>
      <w:rFonts w:ascii="XO Thames" w:hAnsi="XO Thames"/>
      <w:b/>
      <w:color w:val="000000"/>
      <w:spacing w:val="0"/>
      <w:sz w:val="32"/>
    </w:rPr>
  </w:style>
  <w:style w:type="character" w:styleId="EndnoteSymbol1">
    <w:name w:val="Endnote Symbol1"/>
    <w:link w:val="EndnoteSymbol11"/>
    <w:qFormat/>
    <w:rPr>
      <w:rFonts w:ascii="Calibri" w:hAnsi="Calibri"/>
      <w:color w:val="000000"/>
      <w:spacing w:val="0"/>
      <w:sz w:val="22"/>
      <w:vertAlign w:val="superscript"/>
    </w:rPr>
  </w:style>
  <w:style w:type="character" w:styleId="Hyperlink">
    <w:name w:val="Hyperlink"/>
    <w:rPr>
      <w:color w:val="000080"/>
      <w:u w:val="single"/>
    </w:rPr>
  </w:style>
  <w:style w:type="character" w:styleId="Footnote">
    <w:name w:val="Footnote"/>
    <w:link w:val="Footnote1"/>
    <w:qFormat/>
    <w:rPr>
      <w:rFonts w:ascii="XO Thames" w:hAnsi="XO Thames"/>
      <w:sz w:val="22"/>
    </w:rPr>
  </w:style>
  <w:style w:type="character" w:styleId="Heading411">
    <w:name w:val="Heading 411"/>
    <w:link w:val="Heading4111"/>
    <w:qFormat/>
    <w:rPr>
      <w:rFonts w:ascii="XO Thames" w:hAnsi="XO Thames"/>
      <w:b/>
      <w:color w:val="000000"/>
      <w:spacing w:val="0"/>
      <w:sz w:val="24"/>
    </w:rPr>
  </w:style>
  <w:style w:type="character" w:styleId="Contents1">
    <w:name w:val="Contents 1"/>
    <w:qFormat/>
    <w:rPr>
      <w:rFonts w:ascii="XO Thames" w:hAnsi="XO Thames"/>
      <w:b/>
      <w:color w:val="000000"/>
      <w:spacing w:val="0"/>
      <w:sz w:val="28"/>
    </w:rPr>
  </w:style>
  <w:style w:type="character" w:styleId="Textbody211">
    <w:name w:val="Text body211"/>
    <w:link w:val="Textbody2111"/>
    <w:qFormat/>
    <w:rPr>
      <w:rFonts w:ascii="Calibri" w:hAnsi="Calibri"/>
      <w:color w:val="000000"/>
      <w:spacing w:val="0"/>
      <w:sz w:val="22"/>
    </w:rPr>
  </w:style>
  <w:style w:type="character" w:styleId="Contents51">
    <w:name w:val="Contents 51"/>
    <w:link w:val="Contents511"/>
    <w:qFormat/>
    <w:rPr>
      <w:rFonts w:ascii="XO Thames" w:hAnsi="XO Thames"/>
      <w:color w:val="000000"/>
      <w:spacing w:val="0"/>
      <w:sz w:val="28"/>
    </w:rPr>
  </w:style>
  <w:style w:type="character" w:styleId="Contents2211">
    <w:name w:val="Contents 2211"/>
    <w:link w:val="Contents22111"/>
    <w:qFormat/>
    <w:rPr>
      <w:rFonts w:ascii="XO Thames" w:hAnsi="XO Thames"/>
      <w:color w:val="000000"/>
      <w:spacing w:val="0"/>
      <w:sz w:val="28"/>
    </w:rPr>
  </w:style>
  <w:style w:type="character" w:styleId="HeaderandFooter">
    <w:name w:val="Header and Footer"/>
    <w:qFormat/>
    <w:rPr>
      <w:rFonts w:ascii="XO Thames" w:hAnsi="XO Thames"/>
      <w:sz w:val="28"/>
    </w:rPr>
  </w:style>
  <w:style w:type="character" w:styleId="Header211">
    <w:name w:val="Header211"/>
    <w:link w:val="Header2111"/>
    <w:qFormat/>
    <w:rPr>
      <w:rFonts w:ascii="Calibri" w:hAnsi="Calibri"/>
      <w:color w:val="000000"/>
      <w:spacing w:val="0"/>
      <w:sz w:val="22"/>
    </w:rPr>
  </w:style>
  <w:style w:type="character" w:styleId="Heading4211">
    <w:name w:val="Heading 4211"/>
    <w:link w:val="Heading42111"/>
    <w:qFormat/>
    <w:rPr>
      <w:rFonts w:ascii="XO Thames" w:hAnsi="XO Thames"/>
      <w:b/>
      <w:color w:val="000000"/>
      <w:spacing w:val="0"/>
      <w:sz w:val="24"/>
    </w:rPr>
  </w:style>
  <w:style w:type="character" w:styleId="13">
    <w:name w:val="Заголовок1"/>
    <w:link w:val="122"/>
    <w:qFormat/>
    <w:rPr>
      <w:rFonts w:ascii="Liberation Sans" w:hAnsi="Liberation Sans"/>
      <w:sz w:val="28"/>
    </w:rPr>
  </w:style>
  <w:style w:type="character" w:styleId="List1111">
    <w:name w:val="List1111"/>
    <w:basedOn w:val="Textbody211"/>
    <w:link w:val="List11111"/>
    <w:qFormat/>
    <w:rPr/>
  </w:style>
  <w:style w:type="character" w:styleId="Style11">
    <w:name w:val="Символ концевой сноски"/>
    <w:link w:val="17"/>
    <w:qFormat/>
    <w:rPr>
      <w:vertAlign w:val="superscript"/>
    </w:rPr>
  </w:style>
  <w:style w:type="character" w:styleId="EndnoteReference">
    <w:name w:val="endnote reference"/>
    <w:rPr>
      <w:vertAlign w:val="superscript"/>
    </w:rPr>
  </w:style>
  <w:style w:type="character" w:styleId="Textbody111">
    <w:name w:val="Text body111"/>
    <w:link w:val="Textbody1111"/>
    <w:qFormat/>
    <w:rPr>
      <w:rFonts w:ascii="Calibri" w:hAnsi="Calibri"/>
      <w:color w:val="000000"/>
      <w:spacing w:val="0"/>
      <w:sz w:val="22"/>
    </w:rPr>
  </w:style>
  <w:style w:type="character" w:styleId="Contents3111">
    <w:name w:val="Contents 3111"/>
    <w:link w:val="Contents31111"/>
    <w:qFormat/>
    <w:rPr>
      <w:rFonts w:ascii="XO Thames" w:hAnsi="XO Thames"/>
      <w:color w:val="000000"/>
      <w:spacing w:val="0"/>
      <w:sz w:val="28"/>
    </w:rPr>
  </w:style>
  <w:style w:type="character" w:styleId="Strong">
    <w:name w:val="Strong"/>
    <w:qFormat/>
    <w:rPr>
      <w:b/>
    </w:rPr>
  </w:style>
  <w:style w:type="character" w:styleId="Contents92">
    <w:name w:val="Contents 92"/>
    <w:link w:val="Contents921"/>
    <w:qFormat/>
    <w:rPr>
      <w:rFonts w:ascii="XO Thames" w:hAnsi="XO Thames"/>
      <w:color w:val="000000"/>
      <w:spacing w:val="0"/>
      <w:sz w:val="28"/>
    </w:rPr>
  </w:style>
  <w:style w:type="character" w:styleId="Contents91">
    <w:name w:val="Contents 91"/>
    <w:qFormat/>
    <w:rPr>
      <w:rFonts w:ascii="XO Thames" w:hAnsi="XO Thames"/>
      <w:color w:val="000000"/>
      <w:spacing w:val="0"/>
      <w:sz w:val="28"/>
    </w:rPr>
  </w:style>
  <w:style w:type="character" w:styleId="Header1111">
    <w:name w:val="Header1111"/>
    <w:link w:val="Header11111"/>
    <w:qFormat/>
    <w:rPr>
      <w:rFonts w:ascii="Calibri" w:hAnsi="Calibri"/>
      <w:color w:val="000000"/>
      <w:spacing w:val="0"/>
      <w:sz w:val="22"/>
    </w:rPr>
  </w:style>
  <w:style w:type="character" w:styleId="Footer1">
    <w:name w:val="Footer1"/>
    <w:qFormat/>
    <w:rPr/>
  </w:style>
  <w:style w:type="character" w:styleId="Contents8">
    <w:name w:val="Contents 8"/>
    <w:link w:val="Contents82"/>
    <w:qFormat/>
    <w:rPr>
      <w:rFonts w:ascii="XO Thames" w:hAnsi="XO Thames"/>
      <w:color w:val="000000"/>
      <w:spacing w:val="0"/>
      <w:sz w:val="28"/>
    </w:rPr>
  </w:style>
  <w:style w:type="character" w:styleId="Contents22">
    <w:name w:val="Contents 22"/>
    <w:link w:val="Contents221"/>
    <w:qFormat/>
    <w:rPr>
      <w:rFonts w:ascii="XO Thames" w:hAnsi="XO Thames"/>
      <w:color w:val="000000"/>
      <w:spacing w:val="0"/>
      <w:sz w:val="28"/>
    </w:rPr>
  </w:style>
  <w:style w:type="character" w:styleId="Heading5211">
    <w:name w:val="Heading 5211"/>
    <w:link w:val="Heading52111"/>
    <w:qFormat/>
    <w:rPr>
      <w:rFonts w:ascii="XO Thames" w:hAnsi="XO Thames"/>
      <w:b/>
      <w:color w:val="000000"/>
      <w:spacing w:val="0"/>
      <w:sz w:val="22"/>
    </w:rPr>
  </w:style>
  <w:style w:type="character" w:styleId="11117">
    <w:name w:val="Символ сноски1111"/>
    <w:link w:val="111118"/>
    <w:qFormat/>
    <w:rPr>
      <w:rFonts w:ascii="Calibri" w:hAnsi="Calibri"/>
      <w:color w:val="000000"/>
      <w:spacing w:val="0"/>
      <w:sz w:val="22"/>
      <w:vertAlign w:val="superscript"/>
    </w:rPr>
  </w:style>
  <w:style w:type="character" w:styleId="Internetlink211">
    <w:name w:val="Internet link211"/>
    <w:link w:val="Internetlink2111"/>
    <w:qFormat/>
    <w:rPr>
      <w:rFonts w:ascii="Calibri" w:hAnsi="Calibri"/>
      <w:color w:val="000080"/>
      <w:spacing w:val="0"/>
      <w:sz w:val="22"/>
      <w:u w:val="single"/>
    </w:rPr>
  </w:style>
  <w:style w:type="character" w:styleId="Endnote211">
    <w:name w:val="Endnote211"/>
    <w:link w:val="Endnote2111"/>
    <w:qFormat/>
    <w:rPr>
      <w:rFonts w:ascii="XO Thames" w:hAnsi="XO Thames"/>
      <w:color w:val="000000"/>
      <w:spacing w:val="0"/>
      <w:sz w:val="22"/>
    </w:rPr>
  </w:style>
  <w:style w:type="character" w:styleId="Contents81">
    <w:name w:val="Contents 81"/>
    <w:qFormat/>
    <w:rPr>
      <w:rFonts w:ascii="XO Thames" w:hAnsi="XO Thames"/>
      <w:color w:val="000000"/>
      <w:spacing w:val="0"/>
      <w:sz w:val="28"/>
    </w:rPr>
  </w:style>
  <w:style w:type="character" w:styleId="Internetlink2">
    <w:name w:val="Internet link2"/>
    <w:link w:val="Internetlink21"/>
    <w:qFormat/>
    <w:rPr>
      <w:rFonts w:ascii="Calibri" w:hAnsi="Calibri"/>
      <w:color w:val="000080"/>
      <w:spacing w:val="0"/>
      <w:sz w:val="22"/>
      <w:u w:val="single"/>
    </w:rPr>
  </w:style>
  <w:style w:type="character" w:styleId="Contents42">
    <w:name w:val="Contents 42"/>
    <w:link w:val="Contents421"/>
    <w:qFormat/>
    <w:rPr>
      <w:rFonts w:ascii="XO Thames" w:hAnsi="XO Thames"/>
      <w:color w:val="000000"/>
      <w:spacing w:val="0"/>
      <w:sz w:val="28"/>
    </w:rPr>
  </w:style>
  <w:style w:type="character" w:styleId="Contents9111">
    <w:name w:val="Contents 9111"/>
    <w:link w:val="Contents91111"/>
    <w:qFormat/>
    <w:rPr>
      <w:rFonts w:ascii="XO Thames" w:hAnsi="XO Thames"/>
      <w:color w:val="000000"/>
      <w:spacing w:val="0"/>
      <w:sz w:val="28"/>
    </w:rPr>
  </w:style>
  <w:style w:type="character" w:styleId="Endnote1111">
    <w:name w:val="Endnote1111"/>
    <w:link w:val="Endnote11111"/>
    <w:qFormat/>
    <w:rPr>
      <w:rFonts w:ascii="XO Thames" w:hAnsi="XO Thames"/>
      <w:color w:val="000000"/>
      <w:spacing w:val="0"/>
      <w:sz w:val="22"/>
    </w:rPr>
  </w:style>
  <w:style w:type="character" w:styleId="EndnoteSymbol2">
    <w:name w:val="Endnote Symbol2"/>
    <w:link w:val="EndnoteSymbol21"/>
    <w:qFormat/>
    <w:rPr>
      <w:rFonts w:ascii="Calibri" w:hAnsi="Calibri"/>
      <w:color w:val="000000"/>
      <w:spacing w:val="0"/>
      <w:sz w:val="22"/>
      <w:vertAlign w:val="superscript"/>
    </w:rPr>
  </w:style>
  <w:style w:type="character" w:styleId="Subtitle1111">
    <w:name w:val="Subtitle1111"/>
    <w:link w:val="Subtitle11111"/>
    <w:qFormat/>
    <w:rPr>
      <w:rFonts w:ascii="XO Thames" w:hAnsi="XO Thames"/>
      <w:i/>
      <w:color w:val="000000"/>
      <w:spacing w:val="0"/>
      <w:sz w:val="24"/>
    </w:rPr>
  </w:style>
  <w:style w:type="character" w:styleId="List211">
    <w:name w:val="List211"/>
    <w:basedOn w:val="Textbody111"/>
    <w:link w:val="List2111"/>
    <w:qFormat/>
    <w:rPr/>
  </w:style>
  <w:style w:type="character" w:styleId="Contents1211">
    <w:name w:val="Contents 1211"/>
    <w:link w:val="Contents12111"/>
    <w:qFormat/>
    <w:rPr>
      <w:rFonts w:ascii="XO Thames" w:hAnsi="XO Thames"/>
      <w:b/>
      <w:color w:val="000000"/>
      <w:spacing w:val="0"/>
      <w:sz w:val="28"/>
    </w:rPr>
  </w:style>
  <w:style w:type="character" w:styleId="Footnote211">
    <w:name w:val="Footnote211"/>
    <w:link w:val="Footnote2111"/>
    <w:qFormat/>
    <w:rPr/>
  </w:style>
  <w:style w:type="character" w:styleId="Contents5">
    <w:name w:val="Contents 5"/>
    <w:qFormat/>
    <w:rPr>
      <w:rFonts w:ascii="XO Thames" w:hAnsi="XO Thames"/>
      <w:color w:val="000000"/>
      <w:spacing w:val="0"/>
      <w:sz w:val="28"/>
    </w:rPr>
  </w:style>
  <w:style w:type="character" w:styleId="Contents52">
    <w:name w:val="Contents 52"/>
    <w:link w:val="Contents521"/>
    <w:qFormat/>
    <w:rPr>
      <w:rFonts w:ascii="XO Thames" w:hAnsi="XO Thames"/>
      <w:color w:val="000000"/>
      <w:spacing w:val="0"/>
      <w:sz w:val="28"/>
    </w:rPr>
  </w:style>
  <w:style w:type="character" w:styleId="List2">
    <w:name w:val="List2"/>
    <w:basedOn w:val="Textbody1"/>
    <w:link w:val="List21"/>
    <w:qFormat/>
    <w:rPr/>
  </w:style>
  <w:style w:type="character" w:styleId="Contents5211">
    <w:name w:val="Contents 5211"/>
    <w:link w:val="Contents52111"/>
    <w:qFormat/>
    <w:rPr>
      <w:rFonts w:ascii="XO Thames" w:hAnsi="XO Thames"/>
      <w:color w:val="000000"/>
      <w:spacing w:val="0"/>
      <w:sz w:val="28"/>
    </w:rPr>
  </w:style>
  <w:style w:type="character" w:styleId="DefaultParagraphFont1111">
    <w:name w:val="Default Paragraph Font1111"/>
    <w:link w:val="DefaultParagraphFont11111"/>
    <w:qFormat/>
    <w:rPr>
      <w:rFonts w:ascii="Calibri" w:hAnsi="Calibri"/>
      <w:color w:val="000000"/>
      <w:spacing w:val="0"/>
      <w:sz w:val="22"/>
    </w:rPr>
  </w:style>
  <w:style w:type="character" w:styleId="Contents61">
    <w:name w:val="Contents 61"/>
    <w:link w:val="Contents63"/>
    <w:qFormat/>
    <w:rPr>
      <w:rFonts w:ascii="XO Thames" w:hAnsi="XO Thames"/>
      <w:color w:val="000000"/>
      <w:spacing w:val="0"/>
      <w:sz w:val="28"/>
    </w:rPr>
  </w:style>
  <w:style w:type="character" w:styleId="11118">
    <w:name w:val="Верхний колонтитул Знак1111"/>
    <w:basedOn w:val="DefaultParagraphFont1111"/>
    <w:link w:val="111119"/>
    <w:qFormat/>
    <w:rPr/>
  </w:style>
  <w:style w:type="character" w:styleId="FootnoteSymbol1">
    <w:name w:val="Footnote Symbol1"/>
    <w:link w:val="FootnoteSymbol11"/>
    <w:qFormat/>
    <w:rPr>
      <w:rFonts w:ascii="Calibri" w:hAnsi="Calibri"/>
      <w:color w:val="000000"/>
      <w:spacing w:val="0"/>
      <w:sz w:val="22"/>
      <w:vertAlign w:val="superscript"/>
    </w:rPr>
  </w:style>
  <w:style w:type="character" w:styleId="Contents21">
    <w:name w:val="Contents 21"/>
    <w:link w:val="Contents23"/>
    <w:qFormat/>
    <w:rPr>
      <w:rFonts w:ascii="XO Thames" w:hAnsi="XO Thames"/>
      <w:color w:val="000000"/>
      <w:spacing w:val="0"/>
      <w:sz w:val="28"/>
    </w:rPr>
  </w:style>
  <w:style w:type="character" w:styleId="Contents11">
    <w:name w:val="Contents 11"/>
    <w:link w:val="Contents111"/>
    <w:qFormat/>
    <w:rPr>
      <w:rFonts w:ascii="XO Thames" w:hAnsi="XO Thames"/>
      <w:b/>
      <w:color w:val="000000"/>
      <w:spacing w:val="0"/>
      <w:sz w:val="28"/>
    </w:rPr>
  </w:style>
  <w:style w:type="character" w:styleId="FootnoteSymbol211">
    <w:name w:val="Footnote Symbol211"/>
    <w:link w:val="FootnoteSymbol2111"/>
    <w:qFormat/>
    <w:rPr>
      <w:rFonts w:ascii="Calibri" w:hAnsi="Calibri"/>
      <w:color w:val="000000"/>
      <w:spacing w:val="0"/>
      <w:sz w:val="22"/>
      <w:vertAlign w:val="superscript"/>
    </w:rPr>
  </w:style>
  <w:style w:type="character" w:styleId="Heading311">
    <w:name w:val="Heading 311"/>
    <w:link w:val="Heading313"/>
    <w:qFormat/>
    <w:rPr>
      <w:rFonts w:ascii="XO Thames" w:hAnsi="XO Thames"/>
      <w:b/>
      <w:color w:val="000000"/>
      <w:spacing w:val="0"/>
      <w:sz w:val="26"/>
    </w:rPr>
  </w:style>
  <w:style w:type="character" w:styleId="Heading12">
    <w:name w:val="Heading 12"/>
    <w:link w:val="Heading121"/>
    <w:qFormat/>
    <w:rPr>
      <w:rFonts w:ascii="XO Thames" w:hAnsi="XO Thames"/>
      <w:b/>
      <w:color w:val="000000"/>
      <w:spacing w:val="0"/>
      <w:sz w:val="32"/>
    </w:rPr>
  </w:style>
  <w:style w:type="character" w:styleId="Contents7211">
    <w:name w:val="Contents 7211"/>
    <w:link w:val="Contents72111"/>
    <w:qFormat/>
    <w:rPr>
      <w:rFonts w:ascii="XO Thames" w:hAnsi="XO Thames"/>
      <w:color w:val="000000"/>
      <w:spacing w:val="0"/>
      <w:sz w:val="28"/>
    </w:rPr>
  </w:style>
  <w:style w:type="character" w:styleId="14">
    <w:name w:val="Символ нумерации1"/>
    <w:link w:val="115"/>
    <w:qFormat/>
    <w:rPr>
      <w:rFonts w:ascii="Calibri" w:hAnsi="Calibri"/>
      <w:color w:val="000000"/>
      <w:spacing w:val="0"/>
      <w:sz w:val="22"/>
    </w:rPr>
  </w:style>
  <w:style w:type="character" w:styleId="Heading2211">
    <w:name w:val="Heading 2211"/>
    <w:link w:val="Heading22111"/>
    <w:qFormat/>
    <w:rPr>
      <w:rFonts w:ascii="XO Thames" w:hAnsi="XO Thames"/>
      <w:b/>
      <w:color w:val="000000"/>
      <w:spacing w:val="0"/>
      <w:sz w:val="28"/>
    </w:rPr>
  </w:style>
  <w:style w:type="character" w:styleId="Subtitle1">
    <w:name w:val="Subtitle1"/>
    <w:qFormat/>
    <w:rPr>
      <w:rFonts w:ascii="XO Thames" w:hAnsi="XO Thames"/>
      <w:i/>
      <w:color w:val="000000"/>
      <w:spacing w:val="0"/>
      <w:sz w:val="24"/>
    </w:rPr>
  </w:style>
  <w:style w:type="character" w:styleId="Style12">
    <w:name w:val="Указатель"/>
    <w:link w:val="212111112"/>
    <w:qFormat/>
    <w:rPr/>
  </w:style>
  <w:style w:type="character" w:styleId="Caption21">
    <w:name w:val="Caption21"/>
    <w:link w:val="Caption211"/>
    <w:qFormat/>
    <w:rPr>
      <w:rFonts w:ascii="Calibri" w:hAnsi="Calibri"/>
      <w:i/>
      <w:color w:val="000000"/>
      <w:spacing w:val="0"/>
      <w:sz w:val="24"/>
    </w:rPr>
  </w:style>
  <w:style w:type="character" w:styleId="Heading312">
    <w:name w:val="Heading 312"/>
    <w:link w:val="Heading3121"/>
    <w:qFormat/>
    <w:rPr>
      <w:rFonts w:ascii="XO Thames" w:hAnsi="XO Thames"/>
      <w:b/>
      <w:color w:val="000000"/>
      <w:spacing w:val="0"/>
      <w:sz w:val="26"/>
    </w:rPr>
  </w:style>
  <w:style w:type="character" w:styleId="Emphasis1">
    <w:name w:val="Emphasis1"/>
    <w:link w:val="Emphasis11"/>
    <w:qFormat/>
    <w:rPr>
      <w:rFonts w:ascii="Calibri" w:hAnsi="Calibri"/>
      <w:i/>
      <w:color w:val="000000"/>
      <w:spacing w:val="0"/>
      <w:sz w:val="22"/>
    </w:rPr>
  </w:style>
  <w:style w:type="character" w:styleId="Heading41111">
    <w:name w:val="Heading 41111"/>
    <w:link w:val="Heading411111"/>
    <w:qFormat/>
    <w:rPr>
      <w:rFonts w:ascii="XO Thames" w:hAnsi="XO Thames"/>
      <w:b/>
      <w:color w:val="000000"/>
      <w:spacing w:val="0"/>
      <w:sz w:val="24"/>
    </w:rPr>
  </w:style>
  <w:style w:type="character" w:styleId="Contents71">
    <w:name w:val="Contents 71"/>
    <w:link w:val="Contents73"/>
    <w:qFormat/>
    <w:rPr>
      <w:rFonts w:ascii="XO Thames" w:hAnsi="XO Thames"/>
      <w:color w:val="000000"/>
      <w:spacing w:val="0"/>
      <w:sz w:val="28"/>
    </w:rPr>
  </w:style>
  <w:style w:type="character" w:styleId="Title1">
    <w:name w:val="Title1"/>
    <w:qFormat/>
    <w:rPr>
      <w:rFonts w:ascii="XO Thames" w:hAnsi="XO Thames"/>
      <w:b/>
      <w:caps/>
      <w:color w:val="000000"/>
      <w:spacing w:val="0"/>
      <w:sz w:val="40"/>
    </w:rPr>
  </w:style>
  <w:style w:type="character" w:styleId="Heading41">
    <w:name w:val="Heading 41"/>
    <w:qFormat/>
    <w:rPr>
      <w:rFonts w:ascii="XO Thames" w:hAnsi="XO Thames"/>
      <w:b/>
      <w:color w:val="000000"/>
      <w:spacing w:val="0"/>
      <w:sz w:val="24"/>
    </w:rPr>
  </w:style>
  <w:style w:type="character" w:styleId="List1">
    <w:name w:val="List1"/>
    <w:basedOn w:val="Textbody"/>
    <w:qFormat/>
    <w:rPr/>
  </w:style>
  <w:style w:type="character" w:styleId="Contents62">
    <w:name w:val="Contents 62"/>
    <w:link w:val="Contents621"/>
    <w:qFormat/>
    <w:rPr>
      <w:rFonts w:ascii="XO Thames" w:hAnsi="XO Thames"/>
      <w:color w:val="000000"/>
      <w:spacing w:val="0"/>
      <w:sz w:val="28"/>
    </w:rPr>
  </w:style>
  <w:style w:type="character" w:styleId="EndnoteSymbol211">
    <w:name w:val="Endnote Symbol211"/>
    <w:link w:val="EndnoteSymbol2111"/>
    <w:qFormat/>
    <w:rPr>
      <w:rFonts w:ascii="Calibri" w:hAnsi="Calibri"/>
      <w:color w:val="000000"/>
      <w:spacing w:val="0"/>
      <w:sz w:val="22"/>
      <w:vertAlign w:val="superscript"/>
    </w:rPr>
  </w:style>
  <w:style w:type="character" w:styleId="15">
    <w:name w:val="Маркеры1"/>
    <w:link w:val="116"/>
    <w:qFormat/>
    <w:rPr>
      <w:rFonts w:ascii="OpenSymbol" w:hAnsi="OpenSymbol"/>
      <w:color w:val="000000"/>
      <w:spacing w:val="0"/>
      <w:sz w:val="22"/>
    </w:rPr>
  </w:style>
  <w:style w:type="character" w:styleId="Heading21">
    <w:name w:val="Heading 21"/>
    <w:qFormat/>
    <w:rPr>
      <w:rFonts w:ascii="XO Thames" w:hAnsi="XO Thames"/>
      <w:b/>
      <w:color w:val="000000"/>
      <w:spacing w:val="0"/>
      <w:sz w:val="28"/>
    </w:rPr>
  </w:style>
  <w:style w:type="character" w:styleId="Heading52">
    <w:name w:val="Heading 52"/>
    <w:link w:val="Heading521"/>
    <w:qFormat/>
    <w:rPr>
      <w:rFonts w:ascii="XO Thames" w:hAnsi="XO Thames"/>
      <w:b/>
      <w:color w:val="000000"/>
      <w:spacing w:val="0"/>
      <w:sz w:val="22"/>
    </w:rPr>
  </w:style>
  <w:style w:type="character" w:styleId="Style13">
    <w:name w:val="Заголовок"/>
    <w:link w:val="212111111"/>
    <w:qFormat/>
    <w:rPr>
      <w:rFonts w:ascii="Liberation Sans" w:hAnsi="Liberation Sans"/>
      <w:sz w:val="28"/>
    </w:rPr>
  </w:style>
  <w:style w:type="character" w:styleId="Contents1111">
    <w:name w:val="Contents 1111"/>
    <w:link w:val="Contents11111"/>
    <w:qFormat/>
    <w:rPr>
      <w:rFonts w:ascii="XO Thames" w:hAnsi="XO Thames"/>
      <w:b/>
      <w:color w:val="000000"/>
      <w:spacing w:val="0"/>
      <w:sz w:val="28"/>
    </w:rPr>
  </w:style>
  <w:style w:type="character" w:styleId="113">
    <w:name w:val="Символ сноски11"/>
    <w:link w:val="1115"/>
    <w:qFormat/>
    <w:rPr>
      <w:rFonts w:ascii="Calibri" w:hAnsi="Calibri"/>
      <w:color w:val="000000"/>
      <w:spacing w:val="0"/>
      <w:sz w:val="22"/>
      <w:vertAlign w:val="superscript"/>
    </w:rPr>
  </w:style>
  <w:style w:type="character" w:styleId="Heading3131">
    <w:name w:val="Heading 3131"/>
    <w:link w:val="Heading31311"/>
    <w:qFormat/>
    <w:rPr>
      <w:rFonts w:ascii="XO Thames" w:hAnsi="XO Thames"/>
      <w:b/>
      <w:color w:val="000000"/>
      <w:spacing w:val="0"/>
      <w:sz w:val="26"/>
    </w:rPr>
  </w:style>
  <w:style w:type="character" w:styleId="Contents731">
    <w:name w:val="Contents 731"/>
    <w:link w:val="Contents7311"/>
    <w:qFormat/>
    <w:rPr>
      <w:rFonts w:ascii="XO Thames" w:hAnsi="XO Thames"/>
      <w:color w:val="000000"/>
      <w:spacing w:val="0"/>
      <w:sz w:val="28"/>
    </w:rPr>
  </w:style>
  <w:style w:type="character" w:styleId="Contents6211">
    <w:name w:val="Contents 6211"/>
    <w:link w:val="Contents62111"/>
    <w:qFormat/>
    <w:rPr>
      <w:rFonts w:ascii="XO Thames" w:hAnsi="XO Thames"/>
      <w:color w:val="000000"/>
      <w:spacing w:val="0"/>
      <w:sz w:val="28"/>
    </w:rPr>
  </w:style>
  <w:style w:type="character" w:styleId="Textbody2">
    <w:name w:val="Text body2"/>
    <w:link w:val="Textbody21"/>
    <w:qFormat/>
    <w:rPr>
      <w:rFonts w:ascii="Calibri" w:hAnsi="Calibri"/>
      <w:color w:val="000000"/>
      <w:spacing w:val="0"/>
      <w:sz w:val="22"/>
    </w:rPr>
  </w:style>
  <w:style w:type="character" w:styleId="Footer11">
    <w:name w:val="Footer11"/>
    <w:link w:val="Footer13"/>
    <w:qFormat/>
    <w:rPr/>
  </w:style>
  <w:style w:type="character" w:styleId="Heading21111">
    <w:name w:val="Heading 21111"/>
    <w:link w:val="Heading211111"/>
    <w:qFormat/>
    <w:rPr>
      <w:rFonts w:ascii="XO Thames" w:hAnsi="XO Thames"/>
      <w:b/>
      <w:color w:val="000000"/>
      <w:spacing w:val="0"/>
      <w:sz w:val="28"/>
    </w:rPr>
  </w:style>
  <w:style w:type="character" w:styleId="List11">
    <w:name w:val="List11"/>
    <w:basedOn w:val="Textbody2"/>
    <w:link w:val="List111"/>
    <w:qFormat/>
    <w:rPr/>
  </w:style>
  <w:style w:type="character" w:styleId="Caption1211">
    <w:name w:val="Caption1211"/>
    <w:link w:val="Caption12111"/>
    <w:qFormat/>
    <w:rPr>
      <w:rFonts w:ascii="Calibri" w:hAnsi="Calibri"/>
      <w:i/>
      <w:color w:val="000000"/>
      <w:spacing w:val="0"/>
      <w:sz w:val="24"/>
    </w:rPr>
  </w:style>
  <w:style w:type="character" w:styleId="StrongEmphasis2">
    <w:name w:val="Strong Emphasis2"/>
    <w:link w:val="StrongEmphasis21"/>
    <w:qFormat/>
    <w:rPr>
      <w:rFonts w:ascii="Calibri" w:hAnsi="Calibri"/>
      <w:b/>
      <w:color w:val="000000"/>
      <w:spacing w:val="0"/>
      <w:sz w:val="22"/>
    </w:rPr>
  </w:style>
  <w:style w:type="character" w:styleId="Style14">
    <w:name w:val="Символ нумерации"/>
    <w:qFormat/>
    <w:rPr/>
  </w:style>
  <w:style w:type="paragraph" w:styleId="21">
    <w:name w:val="Заголовок2"/>
    <w:basedOn w:val="Normal"/>
    <w:next w:val="BodyText"/>
    <w:qFormat/>
    <w:pPr>
      <w:keepNext w:val="true"/>
      <w:spacing w:before="240" w:after="120"/>
    </w:pPr>
    <w:rPr>
      <w:rFonts w:ascii="Liberation Sans" w:hAnsi="Liberation Sans" w:eastAsia="Tahoma" w:cs="Droid Sans"/>
      <w:sz w:val="28"/>
      <w:szCs w:val="28"/>
    </w:rPr>
  </w:style>
  <w:style w:type="paragraph" w:styleId="BodyText">
    <w:name w:val="Body Text"/>
    <w:basedOn w:val="Normal"/>
    <w:pPr>
      <w:widowControl/>
      <w:spacing w:lineRule="auto" w:line="276" w:before="0" w:after="140"/>
    </w:pPr>
    <w:rPr/>
  </w:style>
  <w:style w:type="paragraph" w:styleId="List">
    <w:name w:val="List"/>
    <w:basedOn w:val="BodyText"/>
    <w:pPr/>
    <w:rPr/>
  </w:style>
  <w:style w:type="paragraph" w:styleId="Caption">
    <w:name w:val="caption"/>
    <w:basedOn w:val="Normal"/>
    <w:qFormat/>
    <w:pPr>
      <w:widowControl/>
      <w:spacing w:before="120" w:after="120"/>
    </w:pPr>
    <w:rPr>
      <w:i/>
      <w:sz w:val="24"/>
    </w:rPr>
  </w:style>
  <w:style w:type="paragraph" w:styleId="22">
    <w:name w:val="Указатель2"/>
    <w:basedOn w:val="Normal"/>
    <w:qFormat/>
    <w:pPr>
      <w:suppressLineNumbers/>
    </w:pPr>
    <w:rPr>
      <w:rFonts w:cs="Droid Sans"/>
    </w:rPr>
  </w:style>
  <w:style w:type="paragraph" w:styleId="212">
    <w:name w:val="Заголовок21"/>
    <w:basedOn w:val="Normal"/>
    <w:next w:val="BodyText"/>
    <w:qFormat/>
    <w:pPr>
      <w:keepNext w:val="true"/>
      <w:spacing w:before="240" w:after="120"/>
    </w:pPr>
    <w:rPr>
      <w:rFonts w:ascii="Liberation Sans" w:hAnsi="Liberation Sans" w:eastAsia="Tahoma" w:cs="Droid Sans"/>
      <w:sz w:val="28"/>
      <w:szCs w:val="28"/>
    </w:rPr>
  </w:style>
  <w:style w:type="paragraph" w:styleId="213">
    <w:name w:val="Указатель21"/>
    <w:basedOn w:val="Normal"/>
    <w:qFormat/>
    <w:pPr>
      <w:suppressLineNumbers/>
    </w:pPr>
    <w:rPr>
      <w:rFonts w:cs="Droid Sans"/>
    </w:rPr>
  </w:style>
  <w:style w:type="paragraph" w:styleId="2121">
    <w:name w:val="Заголовок212"/>
    <w:basedOn w:val="Normal"/>
    <w:next w:val="BodyText"/>
    <w:qFormat/>
    <w:pPr>
      <w:keepNext w:val="true"/>
      <w:spacing w:before="240" w:after="120"/>
    </w:pPr>
    <w:rPr>
      <w:rFonts w:ascii="Liberation Sans" w:hAnsi="Liberation Sans" w:eastAsia="Tahoma" w:cs="Droid Sans"/>
      <w:sz w:val="28"/>
      <w:szCs w:val="28"/>
    </w:rPr>
  </w:style>
  <w:style w:type="paragraph" w:styleId="2122">
    <w:name w:val="Указатель212"/>
    <w:basedOn w:val="Normal"/>
    <w:qFormat/>
    <w:pPr>
      <w:suppressLineNumbers/>
    </w:pPr>
    <w:rPr>
      <w:rFonts w:cs="Droid Sans"/>
    </w:rPr>
  </w:style>
  <w:style w:type="paragraph" w:styleId="21211">
    <w:name w:val="Заголовок2121"/>
    <w:basedOn w:val="Normal"/>
    <w:next w:val="BodyText"/>
    <w:qFormat/>
    <w:pPr>
      <w:keepNext w:val="true"/>
      <w:spacing w:before="240" w:after="120"/>
    </w:pPr>
    <w:rPr>
      <w:rFonts w:ascii="Liberation Sans" w:hAnsi="Liberation Sans" w:eastAsia="Tahoma" w:cs="Droid Sans"/>
      <w:sz w:val="28"/>
      <w:szCs w:val="28"/>
    </w:rPr>
  </w:style>
  <w:style w:type="paragraph" w:styleId="21212">
    <w:name w:val="Указатель2121"/>
    <w:basedOn w:val="Normal"/>
    <w:qFormat/>
    <w:pPr>
      <w:suppressLineNumbers/>
    </w:pPr>
    <w:rPr>
      <w:rFonts w:cs="Droid Sans"/>
    </w:rPr>
  </w:style>
  <w:style w:type="paragraph" w:styleId="212111">
    <w:name w:val="Заголовок21211"/>
    <w:basedOn w:val="Normal"/>
    <w:next w:val="BodyText"/>
    <w:qFormat/>
    <w:pPr>
      <w:keepNext w:val="true"/>
      <w:spacing w:before="240" w:after="120"/>
    </w:pPr>
    <w:rPr>
      <w:rFonts w:ascii="Liberation Sans" w:hAnsi="Liberation Sans" w:eastAsia="Tahoma" w:cs="Droid Sans"/>
      <w:sz w:val="28"/>
      <w:szCs w:val="28"/>
    </w:rPr>
  </w:style>
  <w:style w:type="paragraph" w:styleId="212112">
    <w:name w:val="Указатель21211"/>
    <w:basedOn w:val="Normal"/>
    <w:qFormat/>
    <w:pPr>
      <w:suppressLineNumbers/>
    </w:pPr>
    <w:rPr>
      <w:rFonts w:cs="Droid Sans"/>
    </w:rPr>
  </w:style>
  <w:style w:type="paragraph" w:styleId="2121111">
    <w:name w:val="Заголовок212111"/>
    <w:basedOn w:val="Normal"/>
    <w:next w:val="BodyText"/>
    <w:qFormat/>
    <w:pPr>
      <w:keepNext w:val="true"/>
      <w:spacing w:before="240" w:after="120"/>
    </w:pPr>
    <w:rPr>
      <w:rFonts w:ascii="Liberation Sans" w:hAnsi="Liberation Sans" w:eastAsia="Tahoma" w:cs="Droid Sans"/>
      <w:sz w:val="28"/>
      <w:szCs w:val="28"/>
    </w:rPr>
  </w:style>
  <w:style w:type="paragraph" w:styleId="2121112">
    <w:name w:val="Указатель212111"/>
    <w:basedOn w:val="Normal"/>
    <w:qFormat/>
    <w:pPr>
      <w:suppressLineNumbers/>
    </w:pPr>
    <w:rPr>
      <w:rFonts w:cs="Droid Sans"/>
    </w:rPr>
  </w:style>
  <w:style w:type="paragraph" w:styleId="21211111">
    <w:name w:val="Заголовок2121111"/>
    <w:next w:val="BodyText"/>
    <w:qFormat/>
    <w:pPr>
      <w:widowControl/>
      <w:suppressAutoHyphens w:val="true"/>
      <w:overflowPunct w:val="true"/>
      <w:bidi w:val="0"/>
      <w:spacing w:lineRule="auto" w:line="240" w:before="0" w:after="0"/>
      <w:ind w:hanging="0" w:left="0" w:right="0"/>
      <w:jc w:val="left"/>
    </w:pPr>
    <w:rPr>
      <w:rFonts w:ascii="Liberation Sans" w:hAnsi="Liberation Sans" w:eastAsia="Tahoma" w:cs="Droid Sans"/>
      <w:color w:val="000000"/>
      <w:spacing w:val="0"/>
      <w:kern w:val="0"/>
      <w:sz w:val="28"/>
      <w:szCs w:val="20"/>
      <w:lang w:val="ru-RU" w:eastAsia="zh-CN" w:bidi="hi-IN"/>
    </w:rPr>
  </w:style>
  <w:style w:type="paragraph" w:styleId="21211112">
    <w:name w:val="Указатель2121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212111111">
    <w:name w:val="Заголовок21211111"/>
    <w:basedOn w:val="Normal"/>
    <w:next w:val="BodyText"/>
    <w:qFormat/>
    <w:pPr>
      <w:keepNext w:val="true"/>
      <w:spacing w:before="240" w:after="120"/>
    </w:pPr>
    <w:rPr>
      <w:rFonts w:ascii="Liberation Sans" w:hAnsi="Liberation Sans" w:eastAsia="Tahoma" w:cs="Droid Sans"/>
      <w:sz w:val="28"/>
      <w:szCs w:val="28"/>
    </w:rPr>
  </w:style>
  <w:style w:type="paragraph" w:styleId="212111112">
    <w:name w:val="Указатель21211111"/>
    <w:basedOn w:val="Normal"/>
    <w:qFormat/>
    <w:pPr>
      <w:suppressLineNumbers/>
    </w:pPr>
    <w:rPr>
      <w:rFonts w:cs="Droid Sans"/>
    </w:rPr>
  </w:style>
  <w:style w:type="paragraph" w:styleId="Subtitle21">
    <w:name w:val="Subtitle21"/>
    <w:link w:val="Subtitle2"/>
    <w:qFormat/>
    <w:pPr>
      <w:widowControl/>
      <w:suppressAutoHyphens w:val="true"/>
      <w:overflowPunct w:val="true"/>
      <w:bidi w:val="0"/>
      <w:spacing w:lineRule="auto" w:line="240" w:before="0" w:after="0"/>
      <w:ind w:hanging="0" w:left="0" w:right="0"/>
      <w:jc w:val="left"/>
    </w:pPr>
    <w:rPr>
      <w:rFonts w:ascii="XO Thames" w:hAnsi="XO Thames" w:eastAsia="Tahoma" w:cs="Droid Sans"/>
      <w:i/>
      <w:color w:val="000000"/>
      <w:spacing w:val="0"/>
      <w:kern w:val="0"/>
      <w:sz w:val="24"/>
      <w:szCs w:val="20"/>
      <w:lang w:val="ru-RU" w:eastAsia="zh-CN" w:bidi="hi-IN"/>
    </w:rPr>
  </w:style>
  <w:style w:type="paragraph" w:styleId="Heading112111">
    <w:name w:val="Heading 112111"/>
    <w:link w:val="Heading11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32"/>
      <w:szCs w:val="20"/>
      <w:lang w:val="ru-RU" w:eastAsia="zh-CN" w:bidi="hi-IN"/>
    </w:rPr>
  </w:style>
  <w:style w:type="paragraph" w:styleId="111111">
    <w:name w:val="Маркеры11111"/>
    <w:link w:val="1111"/>
    <w:qFormat/>
    <w:pPr>
      <w:widowControl/>
      <w:suppressAutoHyphens w:val="true"/>
      <w:overflowPunct w:val="true"/>
      <w:bidi w:val="0"/>
      <w:spacing w:lineRule="auto" w:line="240" w:before="0" w:after="0"/>
      <w:ind w:hanging="0" w:left="0" w:right="0"/>
      <w:jc w:val="left"/>
    </w:pPr>
    <w:rPr>
      <w:rFonts w:ascii="OpenSymbol" w:hAnsi="OpenSymbol" w:eastAsia="Tahoma" w:cs="Droid Sans"/>
      <w:color w:val="000000"/>
      <w:spacing w:val="0"/>
      <w:kern w:val="0"/>
      <w:sz w:val="22"/>
      <w:szCs w:val="20"/>
      <w:lang w:val="ru-RU" w:eastAsia="zh-CN" w:bidi="hi-IN"/>
    </w:rPr>
  </w:style>
  <w:style w:type="paragraph" w:styleId="TOC2">
    <w:name w:val="toc 2"/>
    <w:next w:val="Normal"/>
    <w:pPr>
      <w:widowControl/>
      <w:suppressAutoHyphens w:val="true"/>
      <w:overflowPunct w:val="true"/>
      <w:bidi w:val="0"/>
      <w:spacing w:lineRule="auto" w:line="240" w:before="0" w:after="0"/>
      <w:ind w:hanging="0" w:left="200" w:right="0"/>
      <w:jc w:val="left"/>
    </w:pPr>
    <w:rPr>
      <w:rFonts w:ascii="XO Thames" w:hAnsi="XO Thames" w:eastAsia="Tahoma" w:cs="Droid Sans"/>
      <w:color w:val="000000"/>
      <w:spacing w:val="0"/>
      <w:kern w:val="0"/>
      <w:sz w:val="28"/>
      <w:szCs w:val="20"/>
      <w:lang w:val="ru-RU" w:eastAsia="zh-CN" w:bidi="hi-IN"/>
    </w:rPr>
  </w:style>
  <w:style w:type="paragraph" w:styleId="Heading421">
    <w:name w:val="Heading 421"/>
    <w:link w:val="Heading4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4"/>
      <w:szCs w:val="20"/>
      <w:lang w:val="ru-RU" w:eastAsia="zh-CN" w:bidi="hi-IN"/>
    </w:rPr>
  </w:style>
  <w:style w:type="paragraph" w:styleId="Contents2311">
    <w:name w:val="Contents 2311"/>
    <w:link w:val="Contents2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6311">
    <w:name w:val="Contents 6311"/>
    <w:link w:val="Contents6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aption1111">
    <w:name w:val="Caption1111"/>
    <w:link w:val="Caption111"/>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4"/>
      <w:szCs w:val="20"/>
      <w:lang w:val="ru-RU" w:eastAsia="zh-CN" w:bidi="hi-IN"/>
    </w:rPr>
  </w:style>
  <w:style w:type="paragraph" w:styleId="Contents93">
    <w:name w:val="Contents 93"/>
    <w:link w:val="Contents9"/>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TOC4">
    <w:name w:val="toc 4"/>
    <w:next w:val="Normal"/>
    <w:pPr>
      <w:widowControl/>
      <w:suppressAutoHyphens w:val="true"/>
      <w:overflowPunct w:val="true"/>
      <w:bidi w:val="0"/>
      <w:spacing w:lineRule="auto" w:line="240" w:before="0" w:after="0"/>
      <w:ind w:hanging="0" w:left="600" w:right="0"/>
      <w:jc w:val="left"/>
    </w:pPr>
    <w:rPr>
      <w:rFonts w:ascii="XO Thames" w:hAnsi="XO Thames" w:eastAsia="Tahoma" w:cs="Droid Sans"/>
      <w:color w:val="000000"/>
      <w:spacing w:val="0"/>
      <w:kern w:val="0"/>
      <w:sz w:val="28"/>
      <w:szCs w:val="20"/>
      <w:lang w:val="ru-RU" w:eastAsia="zh-CN" w:bidi="hi-IN"/>
    </w:rPr>
  </w:style>
  <w:style w:type="paragraph" w:styleId="StrongEmphasis11">
    <w:name w:val="Strong Emphasis11"/>
    <w:link w:val="StrongEmphasis1"/>
    <w:qFormat/>
    <w:pPr>
      <w:widowControl/>
      <w:suppressAutoHyphens w:val="true"/>
      <w:overflowPunct w:val="true"/>
      <w:bidi w:val="0"/>
      <w:spacing w:lineRule="auto" w:line="240" w:before="0" w:after="0"/>
      <w:ind w:hanging="0" w:left="0" w:right="0"/>
      <w:jc w:val="left"/>
    </w:pPr>
    <w:rPr>
      <w:rFonts w:ascii="Calibri" w:hAnsi="Calibri" w:eastAsia="Tahoma" w:cs="Droid Sans"/>
      <w:b/>
      <w:color w:val="000000"/>
      <w:spacing w:val="0"/>
      <w:kern w:val="0"/>
      <w:sz w:val="22"/>
      <w:szCs w:val="20"/>
      <w:lang w:val="ru-RU" w:eastAsia="zh-CN" w:bidi="hi-IN"/>
    </w:rPr>
  </w:style>
  <w:style w:type="paragraph" w:styleId="111112">
    <w:name w:val="Нижний колонтитул Знак11111"/>
    <w:basedOn w:val="DefaultParagraphFont11111"/>
    <w:link w:val="11111"/>
    <w:qFormat/>
    <w:pPr/>
    <w:rPr/>
  </w:style>
  <w:style w:type="paragraph" w:styleId="Title11111">
    <w:name w:val="Title11111"/>
    <w:link w:val="Title1111"/>
    <w:qFormat/>
    <w:pPr>
      <w:widowControl/>
      <w:suppressAutoHyphens w:val="true"/>
      <w:overflowPunct w:val="true"/>
      <w:bidi w:val="0"/>
      <w:spacing w:lineRule="auto" w:line="240" w:before="0" w:after="0"/>
      <w:ind w:hanging="0" w:left="0" w:right="0"/>
      <w:jc w:val="left"/>
    </w:pPr>
    <w:rPr>
      <w:rFonts w:ascii="XO Thames" w:hAnsi="XO Thames" w:eastAsia="Tahoma" w:cs="Droid Sans"/>
      <w:b/>
      <w:caps/>
      <w:color w:val="000000"/>
      <w:spacing w:val="0"/>
      <w:kern w:val="0"/>
      <w:sz w:val="40"/>
      <w:szCs w:val="20"/>
      <w:lang w:val="ru-RU" w:eastAsia="zh-CN" w:bidi="hi-IN"/>
    </w:rPr>
  </w:style>
  <w:style w:type="paragraph" w:styleId="TOC6">
    <w:name w:val="toc 6"/>
    <w:next w:val="Normal"/>
    <w:pPr>
      <w:widowControl/>
      <w:suppressAutoHyphens w:val="true"/>
      <w:overflowPunct w:val="true"/>
      <w:bidi w:val="0"/>
      <w:spacing w:lineRule="auto" w:line="240" w:before="0" w:after="0"/>
      <w:ind w:hanging="0" w:left="1000" w:right="0"/>
      <w:jc w:val="left"/>
    </w:pPr>
    <w:rPr>
      <w:rFonts w:ascii="XO Thames" w:hAnsi="XO Thames" w:eastAsia="Tahoma" w:cs="Droid Sans"/>
      <w:color w:val="000000"/>
      <w:spacing w:val="0"/>
      <w:kern w:val="0"/>
      <w:sz w:val="28"/>
      <w:szCs w:val="20"/>
      <w:lang w:val="ru-RU" w:eastAsia="zh-CN" w:bidi="hi-IN"/>
    </w:rPr>
  </w:style>
  <w:style w:type="paragraph" w:styleId="TOC7">
    <w:name w:val="toc 7"/>
    <w:next w:val="Normal"/>
    <w:pPr>
      <w:widowControl/>
      <w:suppressAutoHyphens w:val="true"/>
      <w:overflowPunct w:val="true"/>
      <w:bidi w:val="0"/>
      <w:spacing w:lineRule="auto" w:line="240" w:before="0" w:after="0"/>
      <w:ind w:hanging="0" w:left="1200" w:right="0"/>
      <w:jc w:val="left"/>
    </w:pPr>
    <w:rPr>
      <w:rFonts w:ascii="XO Thames" w:hAnsi="XO Thames" w:eastAsia="Tahoma" w:cs="Droid Sans"/>
      <w:color w:val="000000"/>
      <w:spacing w:val="0"/>
      <w:kern w:val="0"/>
      <w:sz w:val="28"/>
      <w:szCs w:val="20"/>
      <w:lang w:val="ru-RU" w:eastAsia="zh-CN" w:bidi="hi-IN"/>
    </w:rPr>
  </w:style>
  <w:style w:type="paragraph" w:styleId="Footnote21">
    <w:name w:val="Footnote21"/>
    <w:link w:val="Footnote2"/>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Title2111">
    <w:name w:val="Title2111"/>
    <w:link w:val="Title211"/>
    <w:qFormat/>
    <w:pPr>
      <w:widowControl/>
      <w:suppressAutoHyphens w:val="true"/>
      <w:overflowPunct w:val="true"/>
      <w:bidi w:val="0"/>
      <w:spacing w:lineRule="auto" w:line="240" w:before="0" w:after="0"/>
      <w:ind w:hanging="0" w:left="0" w:right="0"/>
      <w:jc w:val="left"/>
    </w:pPr>
    <w:rPr>
      <w:rFonts w:ascii="XO Thames" w:hAnsi="XO Thames" w:eastAsia="Tahoma" w:cs="Droid Sans"/>
      <w:b/>
      <w:caps/>
      <w:color w:val="000000"/>
      <w:spacing w:val="0"/>
      <w:kern w:val="0"/>
      <w:sz w:val="40"/>
      <w:szCs w:val="20"/>
      <w:lang w:val="ru-RU" w:eastAsia="zh-CN" w:bidi="hi-IN"/>
    </w:rPr>
  </w:style>
  <w:style w:type="paragraph" w:styleId="Contents42111">
    <w:name w:val="Contents 42111"/>
    <w:link w:val="Contents4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21111">
    <w:name w:val="Указатель2111"/>
    <w:basedOn w:val="Normal"/>
    <w:link w:val="211"/>
    <w:qFormat/>
    <w:pPr/>
    <w:rPr/>
  </w:style>
  <w:style w:type="paragraph" w:styleId="Contents8311">
    <w:name w:val="Contents 8311"/>
    <w:link w:val="Contents8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Heading312111">
    <w:name w:val="Heading 312111"/>
    <w:link w:val="Heading31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6"/>
      <w:szCs w:val="20"/>
      <w:lang w:val="ru-RU" w:eastAsia="zh-CN" w:bidi="hi-IN"/>
    </w:rPr>
  </w:style>
  <w:style w:type="paragraph" w:styleId="Caption11">
    <w:name w:val="Caption11"/>
    <w:link w:val="Caption1"/>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4"/>
      <w:szCs w:val="20"/>
      <w:lang w:val="ru-RU" w:eastAsia="zh-CN" w:bidi="hi-IN"/>
    </w:rPr>
  </w:style>
  <w:style w:type="paragraph" w:styleId="111113">
    <w:name w:val="Колонтитулы11111"/>
    <w:link w:val="11112"/>
    <w:qFormat/>
    <w:pPr>
      <w:widowControl/>
      <w:suppressAutoHyphens w:val="true"/>
      <w:overflowPunct w:val="true"/>
      <w:bidi w:val="0"/>
      <w:spacing w:lineRule="auto" w:line="240" w:before="0" w:after="0"/>
      <w:ind w:hanging="0" w:left="0" w:right="0"/>
      <w:jc w:val="both"/>
    </w:pPr>
    <w:rPr>
      <w:rFonts w:ascii="XO Thames" w:hAnsi="XO Thames" w:eastAsia="Tahoma" w:cs="Droid Sans"/>
      <w:color w:val="000000"/>
      <w:spacing w:val="0"/>
      <w:kern w:val="0"/>
      <w:sz w:val="28"/>
      <w:szCs w:val="20"/>
      <w:lang w:val="ru-RU" w:eastAsia="zh-CN" w:bidi="hi-IN"/>
    </w:rPr>
  </w:style>
  <w:style w:type="paragraph" w:styleId="Emphasis2">
    <w:name w:val="Emphasis2"/>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2"/>
      <w:szCs w:val="20"/>
      <w:lang w:val="ru-RU" w:eastAsia="zh-CN" w:bidi="hi-IN"/>
    </w:rPr>
  </w:style>
  <w:style w:type="paragraph" w:styleId="Heading511111">
    <w:name w:val="Heading 511111"/>
    <w:link w:val="Heading511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2"/>
      <w:szCs w:val="20"/>
      <w:lang w:val="ru-RU" w:eastAsia="zh-CN" w:bidi="hi-IN"/>
    </w:rPr>
  </w:style>
  <w:style w:type="paragraph" w:styleId="EndnoteSymbol1111">
    <w:name w:val="Endnote Symbol1111"/>
    <w:link w:val="EndnoteSymbol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Endnote1">
    <w:name w:val="Endnote1"/>
    <w:link w:val="Endnote"/>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Contents51111">
    <w:name w:val="Contents 51111"/>
    <w:link w:val="Contents51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114">
    <w:name w:val="Колонтитулы11"/>
    <w:link w:val="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311">
    <w:name w:val="Contents 311"/>
    <w:link w:val="Contents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FootnoteSymbol21">
    <w:name w:val="Footnote Symbol21"/>
    <w:link w:val="FootnoteSymbol2"/>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StrongEmphasis2111">
    <w:name w:val="Strong Emphasis2111"/>
    <w:link w:val="StrongEmphasis211"/>
    <w:qFormat/>
    <w:pPr>
      <w:widowControl/>
      <w:suppressAutoHyphens w:val="true"/>
      <w:overflowPunct w:val="true"/>
      <w:bidi w:val="0"/>
      <w:spacing w:lineRule="auto" w:line="240" w:before="0" w:after="0"/>
      <w:ind w:hanging="0" w:left="0" w:right="0"/>
      <w:jc w:val="left"/>
    </w:pPr>
    <w:rPr>
      <w:rFonts w:ascii="Calibri" w:hAnsi="Calibri" w:eastAsia="Tahoma" w:cs="Droid Sans"/>
      <w:b/>
      <w:color w:val="000000"/>
      <w:spacing w:val="0"/>
      <w:kern w:val="0"/>
      <w:sz w:val="22"/>
      <w:szCs w:val="20"/>
      <w:lang w:val="ru-RU" w:eastAsia="zh-CN" w:bidi="hi-IN"/>
    </w:rPr>
  </w:style>
  <w:style w:type="paragraph" w:styleId="Contents32111">
    <w:name w:val="Contents 32111"/>
    <w:link w:val="Contents3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4311">
    <w:name w:val="Contents 4311"/>
    <w:link w:val="Contents4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321">
    <w:name w:val="Contents 321"/>
    <w:link w:val="Contents3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Heading221">
    <w:name w:val="Heading 221"/>
    <w:link w:val="Heading2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Footer11111">
    <w:name w:val="Footer11111"/>
    <w:link w:val="Footer1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21112">
    <w:name w:val="Колонтитулы2111"/>
    <w:basedOn w:val="Normal"/>
    <w:link w:val="2111"/>
    <w:qFormat/>
    <w:pPr/>
    <w:rPr/>
  </w:style>
  <w:style w:type="paragraph" w:styleId="111114">
    <w:name w:val="Текст сноски Знак11111"/>
    <w:basedOn w:val="DefaultParagraphFont11111"/>
    <w:link w:val="11113"/>
    <w:qFormat/>
    <w:pPr/>
    <w:rPr>
      <w:sz w:val="20"/>
    </w:rPr>
  </w:style>
  <w:style w:type="paragraph" w:styleId="Subtitle111">
    <w:name w:val="Subtitle111"/>
    <w:link w:val="Subtitle11"/>
    <w:qFormat/>
    <w:pPr>
      <w:widowControl/>
      <w:suppressAutoHyphens w:val="true"/>
      <w:overflowPunct w:val="true"/>
      <w:bidi w:val="0"/>
      <w:spacing w:lineRule="auto" w:line="240" w:before="0" w:after="0"/>
      <w:ind w:hanging="0" w:left="0" w:right="0"/>
      <w:jc w:val="left"/>
    </w:pPr>
    <w:rPr>
      <w:rFonts w:ascii="XO Thames" w:hAnsi="XO Thames" w:eastAsia="Tahoma" w:cs="Droid Sans"/>
      <w:i/>
      <w:color w:val="000000"/>
      <w:spacing w:val="0"/>
      <w:kern w:val="0"/>
      <w:sz w:val="24"/>
      <w:szCs w:val="20"/>
      <w:lang w:val="ru-RU" w:eastAsia="zh-CN" w:bidi="hi-IN"/>
    </w:rPr>
  </w:style>
  <w:style w:type="paragraph" w:styleId="Textbody3">
    <w:name w:val="Text body3"/>
    <w:link w:val="Textbody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Contents43">
    <w:name w:val="Contents 43"/>
    <w:link w:val="Contents4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Heading11311">
    <w:name w:val="Heading 11311"/>
    <w:link w:val="Heading113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32"/>
      <w:szCs w:val="20"/>
      <w:lang w:val="ru-RU" w:eastAsia="zh-CN" w:bidi="hi-IN"/>
    </w:rPr>
  </w:style>
  <w:style w:type="paragraph" w:styleId="Footnote111">
    <w:name w:val="Footnote111"/>
    <w:link w:val="Footnote11"/>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Header11">
    <w:name w:val="Header11"/>
    <w:link w:val="Header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Contents721">
    <w:name w:val="Contents 721"/>
    <w:link w:val="Contents7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Endnote111">
    <w:name w:val="Endnote111"/>
    <w:link w:val="Endnote11"/>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Title111">
    <w:name w:val="Title111"/>
    <w:link w:val="Title11"/>
    <w:qFormat/>
    <w:pPr>
      <w:widowControl/>
      <w:suppressAutoHyphens w:val="true"/>
      <w:overflowPunct w:val="true"/>
      <w:bidi w:val="0"/>
      <w:spacing w:lineRule="auto" w:line="240" w:before="0" w:after="0"/>
      <w:ind w:hanging="0" w:left="0" w:right="0"/>
      <w:jc w:val="left"/>
    </w:pPr>
    <w:rPr>
      <w:rFonts w:ascii="XO Thames" w:hAnsi="XO Thames" w:eastAsia="Tahoma" w:cs="Droid Sans"/>
      <w:b/>
      <w:caps/>
      <w:color w:val="000000"/>
      <w:spacing w:val="0"/>
      <w:kern w:val="0"/>
      <w:sz w:val="40"/>
      <w:szCs w:val="20"/>
      <w:lang w:val="ru-RU" w:eastAsia="zh-CN" w:bidi="hi-IN"/>
    </w:rPr>
  </w:style>
  <w:style w:type="paragraph" w:styleId="Title21">
    <w:name w:val="Title21"/>
    <w:link w:val="Title2"/>
    <w:qFormat/>
    <w:pPr>
      <w:widowControl/>
      <w:suppressAutoHyphens w:val="true"/>
      <w:overflowPunct w:val="true"/>
      <w:bidi w:val="0"/>
      <w:spacing w:lineRule="auto" w:line="240" w:before="0" w:after="0"/>
      <w:ind w:hanging="0" w:left="0" w:right="0"/>
      <w:jc w:val="left"/>
    </w:pPr>
    <w:rPr>
      <w:rFonts w:ascii="XO Thames" w:hAnsi="XO Thames" w:eastAsia="Tahoma" w:cs="Droid Sans"/>
      <w:b/>
      <w:caps/>
      <w:color w:val="000000"/>
      <w:spacing w:val="0"/>
      <w:kern w:val="0"/>
      <w:sz w:val="40"/>
      <w:szCs w:val="20"/>
      <w:lang w:val="ru-RU" w:eastAsia="zh-CN" w:bidi="hi-IN"/>
    </w:rPr>
  </w:style>
  <w:style w:type="paragraph" w:styleId="3">
    <w:name w:val="Колонтитулы3"/>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21113">
    <w:name w:val="Заголовок2111"/>
    <w:basedOn w:val="Normal"/>
    <w:next w:val="BodyText"/>
    <w:link w:val="2112"/>
    <w:qFormat/>
    <w:pPr>
      <w:keepNext w:val="true"/>
      <w:widowControl/>
      <w:spacing w:before="240" w:after="120"/>
    </w:pPr>
    <w:rPr>
      <w:rFonts w:ascii="Liberation Sans" w:hAnsi="Liberation Sans"/>
      <w:sz w:val="28"/>
    </w:rPr>
  </w:style>
  <w:style w:type="paragraph" w:styleId="1112">
    <w:name w:val="Символ концевой сноски111"/>
    <w:link w:val="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Heading1111">
    <w:name w:val="Heading 1111"/>
    <w:link w:val="Heading1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32"/>
      <w:szCs w:val="20"/>
      <w:lang w:val="ru-RU" w:eastAsia="zh-CN" w:bidi="hi-IN"/>
    </w:rPr>
  </w:style>
  <w:style w:type="paragraph" w:styleId="1113">
    <w:name w:val="Указатель111"/>
    <w:basedOn w:val="Normal"/>
    <w:link w:val="111"/>
    <w:qFormat/>
    <w:pPr/>
    <w:rPr/>
  </w:style>
  <w:style w:type="paragraph" w:styleId="Heading2111">
    <w:name w:val="Heading 2111"/>
    <w:link w:val="Heading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31">
    <w:name w:val="Колонтитулы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4">
    <w:name w:val="Колонтитулы4"/>
    <w:basedOn w:val="Normal"/>
    <w:qFormat/>
    <w:pPr/>
    <w:rPr/>
  </w:style>
  <w:style w:type="paragraph" w:styleId="5">
    <w:name w:val="Колонтитулы5"/>
    <w:basedOn w:val="Normal"/>
    <w:qFormat/>
    <w:pPr/>
    <w:rPr/>
  </w:style>
  <w:style w:type="paragraph" w:styleId="6">
    <w:name w:val="Колонтитулы6"/>
    <w:basedOn w:val="Normal"/>
    <w:qFormat/>
    <w:pPr/>
    <w:rPr/>
  </w:style>
  <w:style w:type="paragraph" w:styleId="7">
    <w:name w:val="Колонтитулы7"/>
    <w:basedOn w:val="Normal"/>
    <w:qFormat/>
    <w:pPr/>
    <w:rPr/>
  </w:style>
  <w:style w:type="paragraph" w:styleId="8">
    <w:name w:val="Колонтитулы8"/>
    <w:basedOn w:val="Normal"/>
    <w:qFormat/>
    <w:pPr/>
    <w:rPr/>
  </w:style>
  <w:style w:type="paragraph" w:styleId="9">
    <w:name w:val="Колонтитулы9"/>
    <w:basedOn w:val="Normal"/>
    <w:qFormat/>
    <w:pPr/>
    <w:rPr/>
  </w:style>
  <w:style w:type="paragraph" w:styleId="Header">
    <w:name w:val="header"/>
    <w:basedOn w:val="Normal"/>
    <w:pPr>
      <w:widowControl/>
      <w:tabs>
        <w:tab w:val="clear" w:pos="708"/>
        <w:tab w:val="center" w:pos="4677" w:leader="none"/>
        <w:tab w:val="right" w:pos="9355" w:leader="none"/>
      </w:tabs>
      <w:spacing w:lineRule="auto" w:line="240" w:before="0" w:after="0"/>
    </w:pPr>
    <w:rPr/>
  </w:style>
  <w:style w:type="paragraph" w:styleId="Footnote11111">
    <w:name w:val="Footnote11111"/>
    <w:basedOn w:val="Normal"/>
    <w:link w:val="Footnote1111"/>
    <w:qFormat/>
    <w:pPr>
      <w:widowControl/>
      <w:spacing w:lineRule="auto" w:line="240" w:before="0" w:after="0"/>
    </w:pPr>
    <w:rPr>
      <w:sz w:val="20"/>
    </w:rPr>
  </w:style>
  <w:style w:type="paragraph" w:styleId="Footer2111">
    <w:name w:val="Footer2111"/>
    <w:link w:val="Footer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Heading5111">
    <w:name w:val="Heading 5111"/>
    <w:link w:val="Heading5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2"/>
      <w:szCs w:val="20"/>
      <w:lang w:val="ru-RU" w:eastAsia="zh-CN" w:bidi="hi-IN"/>
    </w:rPr>
  </w:style>
  <w:style w:type="paragraph" w:styleId="111115">
    <w:name w:val="Символ концевой сноски11111"/>
    <w:link w:val="11114"/>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121">
    <w:name w:val="Указатель12"/>
    <w:basedOn w:val="Normal"/>
    <w:link w:val="12"/>
    <w:qFormat/>
    <w:pPr/>
    <w:rPr/>
  </w:style>
  <w:style w:type="paragraph" w:styleId="TOC3">
    <w:name w:val="toc 3"/>
    <w:next w:val="Normal"/>
    <w:pPr>
      <w:widowControl/>
      <w:suppressAutoHyphens w:val="true"/>
      <w:overflowPunct w:val="true"/>
      <w:bidi w:val="0"/>
      <w:spacing w:lineRule="auto" w:line="240" w:before="0" w:after="0"/>
      <w:ind w:hanging="0" w:left="400" w:right="0"/>
      <w:jc w:val="left"/>
    </w:pPr>
    <w:rPr>
      <w:rFonts w:ascii="XO Thames" w:hAnsi="XO Thames" w:eastAsia="Tahoma" w:cs="Droid Sans"/>
      <w:color w:val="000000"/>
      <w:spacing w:val="0"/>
      <w:kern w:val="0"/>
      <w:sz w:val="28"/>
      <w:szCs w:val="20"/>
      <w:lang w:val="ru-RU" w:eastAsia="zh-CN" w:bidi="hi-IN"/>
    </w:rPr>
  </w:style>
  <w:style w:type="paragraph" w:styleId="Contents8111">
    <w:name w:val="Contents 8111"/>
    <w:link w:val="Contents8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Endnote21">
    <w:name w:val="Endnote21"/>
    <w:link w:val="Endnote2"/>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FootnoteSymbol1111">
    <w:name w:val="Footnote Symbol1111"/>
    <w:link w:val="FootnoteSymbol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1114">
    <w:name w:val="Заголовок111"/>
    <w:basedOn w:val="Normal"/>
    <w:next w:val="BodyText"/>
    <w:link w:val="112"/>
    <w:qFormat/>
    <w:pPr>
      <w:keepNext w:val="true"/>
      <w:widowControl/>
      <w:spacing w:before="240" w:after="120"/>
    </w:pPr>
    <w:rPr>
      <w:rFonts w:ascii="Liberation Sans" w:hAnsi="Liberation Sans"/>
      <w:sz w:val="28"/>
    </w:rPr>
  </w:style>
  <w:style w:type="paragraph" w:styleId="Subtitle2111">
    <w:name w:val="Subtitle2111"/>
    <w:link w:val="Subtitle211"/>
    <w:qFormat/>
    <w:pPr>
      <w:widowControl/>
      <w:suppressAutoHyphens w:val="true"/>
      <w:overflowPunct w:val="true"/>
      <w:bidi w:val="0"/>
      <w:spacing w:lineRule="auto" w:line="240" w:before="0" w:after="0"/>
      <w:ind w:hanging="0" w:left="0" w:right="0"/>
      <w:jc w:val="left"/>
    </w:pPr>
    <w:rPr>
      <w:rFonts w:ascii="XO Thames" w:hAnsi="XO Thames" w:eastAsia="Tahoma" w:cs="Droid Sans"/>
      <w:i/>
      <w:color w:val="000000"/>
      <w:spacing w:val="0"/>
      <w:kern w:val="0"/>
      <w:sz w:val="24"/>
      <w:szCs w:val="20"/>
      <w:lang w:val="ru-RU" w:eastAsia="zh-CN" w:bidi="hi-IN"/>
    </w:rPr>
  </w:style>
  <w:style w:type="paragraph" w:styleId="Footer121">
    <w:name w:val="Footer121"/>
    <w:link w:val="Footer12"/>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214">
    <w:name w:val="Колонтитулы21"/>
    <w:basedOn w:val="Normal"/>
    <w:link w:val="2"/>
    <w:qFormat/>
    <w:pPr/>
    <w:rPr/>
  </w:style>
  <w:style w:type="paragraph" w:styleId="Internetlink1111">
    <w:name w:val="Internet link1111"/>
    <w:link w:val="Internetlink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80"/>
      <w:spacing w:val="0"/>
      <w:kern w:val="0"/>
      <w:sz w:val="22"/>
      <w:szCs w:val="20"/>
      <w:u w:val="single"/>
      <w:lang w:val="ru-RU" w:eastAsia="zh-CN" w:bidi="hi-IN"/>
    </w:rPr>
  </w:style>
  <w:style w:type="paragraph" w:styleId="Contents121">
    <w:name w:val="Contents 121"/>
    <w:link w:val="Contents1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StrongEmphasis1111">
    <w:name w:val="Strong Emphasis1111"/>
    <w:link w:val="StrongEmphasis111"/>
    <w:qFormat/>
    <w:pPr>
      <w:widowControl/>
      <w:suppressAutoHyphens w:val="true"/>
      <w:overflowPunct w:val="true"/>
      <w:bidi w:val="0"/>
      <w:spacing w:lineRule="auto" w:line="240" w:before="0" w:after="0"/>
      <w:ind w:hanging="0" w:left="0" w:right="0"/>
      <w:jc w:val="left"/>
    </w:pPr>
    <w:rPr>
      <w:rFonts w:ascii="Calibri" w:hAnsi="Calibri" w:eastAsia="Tahoma" w:cs="Droid Sans"/>
      <w:b/>
      <w:color w:val="000000"/>
      <w:spacing w:val="0"/>
      <w:kern w:val="0"/>
      <w:sz w:val="22"/>
      <w:szCs w:val="20"/>
      <w:lang w:val="ru-RU" w:eastAsia="zh-CN" w:bidi="hi-IN"/>
    </w:rPr>
  </w:style>
  <w:style w:type="paragraph" w:styleId="111116">
    <w:name w:val="Заголовок11111"/>
    <w:basedOn w:val="Normal"/>
    <w:next w:val="BodyText"/>
    <w:link w:val="11115"/>
    <w:qFormat/>
    <w:pPr>
      <w:keepNext w:val="true"/>
      <w:widowControl/>
      <w:spacing w:before="240" w:after="120"/>
    </w:pPr>
    <w:rPr>
      <w:rFonts w:ascii="Liberation Sans" w:hAnsi="Liberation Sans"/>
      <w:sz w:val="28"/>
    </w:rPr>
  </w:style>
  <w:style w:type="paragraph" w:styleId="Contents92111">
    <w:name w:val="Contents 92111"/>
    <w:link w:val="Contents9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111117">
    <w:name w:val="Указатель11111"/>
    <w:basedOn w:val="Normal"/>
    <w:link w:val="11116"/>
    <w:qFormat/>
    <w:pPr/>
    <w:rPr/>
  </w:style>
  <w:style w:type="paragraph" w:styleId="Contents82111">
    <w:name w:val="Contents 82111"/>
    <w:link w:val="Contents8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Internetlink11">
    <w:name w:val="Internet link11"/>
    <w:link w:val="Internetlink1"/>
    <w:qFormat/>
    <w:pPr>
      <w:widowControl/>
      <w:suppressAutoHyphens w:val="true"/>
      <w:overflowPunct w:val="true"/>
      <w:bidi w:val="0"/>
      <w:spacing w:lineRule="auto" w:line="240" w:before="0" w:after="0"/>
      <w:ind w:hanging="0" w:left="0" w:right="0"/>
      <w:jc w:val="left"/>
    </w:pPr>
    <w:rPr>
      <w:rFonts w:ascii="Calibri" w:hAnsi="Calibri" w:eastAsia="Tahoma" w:cs="Droid Sans"/>
      <w:color w:val="000080"/>
      <w:spacing w:val="0"/>
      <w:kern w:val="0"/>
      <w:sz w:val="22"/>
      <w:szCs w:val="20"/>
      <w:u w:val="single"/>
      <w:lang w:val="ru-RU" w:eastAsia="zh-CN" w:bidi="hi-IN"/>
    </w:rPr>
  </w:style>
  <w:style w:type="paragraph" w:styleId="FootnoteSymbol">
    <w:name w:val="Footnote Symbol"/>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Header121">
    <w:name w:val="Header121"/>
    <w:link w:val="Header12"/>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EndnoteSymbol11">
    <w:name w:val="Endnote Symbol11"/>
    <w:link w:val="EndnoteSymbol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Internetlink">
    <w:name w:val="Internet link"/>
    <w:qFormat/>
    <w:pPr>
      <w:widowControl/>
      <w:suppressAutoHyphens w:val="true"/>
      <w:overflowPunct w:val="true"/>
      <w:bidi w:val="0"/>
      <w:spacing w:lineRule="auto" w:line="240" w:before="0" w:after="0"/>
      <w:ind w:hanging="0" w:left="0" w:right="0"/>
      <w:jc w:val="left"/>
    </w:pPr>
    <w:rPr>
      <w:rFonts w:ascii="Calibri" w:hAnsi="Calibri" w:eastAsia="Tahoma" w:cs="Droid Sans"/>
      <w:color w:val="000080"/>
      <w:spacing w:val="0"/>
      <w:kern w:val="0"/>
      <w:sz w:val="22"/>
      <w:szCs w:val="20"/>
      <w:u w:val="single"/>
      <w:lang w:val="ru-RU" w:eastAsia="zh-CN" w:bidi="hi-IN"/>
    </w:rPr>
  </w:style>
  <w:style w:type="paragraph" w:styleId="Footnote1">
    <w:name w:val="Footnote1"/>
    <w:link w:val="Footnote"/>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Heading4111">
    <w:name w:val="Heading 4111"/>
    <w:link w:val="Heading4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4"/>
      <w:szCs w:val="20"/>
      <w:lang w:val="ru-RU" w:eastAsia="zh-CN" w:bidi="hi-IN"/>
    </w:rPr>
  </w:style>
  <w:style w:type="paragraph" w:styleId="TOC1">
    <w:name w:val="toc 1"/>
    <w:next w:val="Normal"/>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Textbody2111">
    <w:name w:val="Text body2111"/>
    <w:link w:val="Textbody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Contents511">
    <w:name w:val="Contents 511"/>
    <w:link w:val="Contents5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22111">
    <w:name w:val="Contents 22111"/>
    <w:link w:val="Contents2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16">
    <w:name w:val="Символ сноски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Header2111">
    <w:name w:val="Header2111"/>
    <w:link w:val="Header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Heading42111">
    <w:name w:val="Heading 42111"/>
    <w:link w:val="Heading4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4"/>
      <w:szCs w:val="20"/>
      <w:lang w:val="ru-RU" w:eastAsia="zh-CN" w:bidi="hi-IN"/>
    </w:rPr>
  </w:style>
  <w:style w:type="paragraph" w:styleId="122">
    <w:name w:val="Заголовок12"/>
    <w:basedOn w:val="Normal"/>
    <w:next w:val="BodyText"/>
    <w:link w:val="13"/>
    <w:qFormat/>
    <w:pPr>
      <w:keepNext w:val="true"/>
      <w:widowControl/>
      <w:spacing w:before="240" w:after="120"/>
    </w:pPr>
    <w:rPr>
      <w:rFonts w:ascii="Liberation Sans" w:hAnsi="Liberation Sans"/>
      <w:sz w:val="28"/>
    </w:rPr>
  </w:style>
  <w:style w:type="paragraph" w:styleId="List11111">
    <w:name w:val="List11111"/>
    <w:basedOn w:val="Textbody2111"/>
    <w:link w:val="List1111"/>
    <w:qFormat/>
    <w:pPr/>
    <w:rPr/>
  </w:style>
  <w:style w:type="paragraph" w:styleId="EndnoteSymbol">
    <w:name w:val="Endnote Symbol"/>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Textbody1111">
    <w:name w:val="Text body1111"/>
    <w:link w:val="Textbody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Contents31111">
    <w:name w:val="Contents 31111"/>
    <w:link w:val="Contents31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StrongEmphasis">
    <w:name w:val="Strong Emphasis"/>
    <w:qFormat/>
    <w:pPr>
      <w:widowControl/>
      <w:suppressAutoHyphens w:val="true"/>
      <w:overflowPunct w:val="true"/>
      <w:bidi w:val="0"/>
      <w:spacing w:lineRule="auto" w:line="240" w:before="0" w:after="0"/>
      <w:ind w:hanging="0" w:left="0" w:right="0"/>
      <w:jc w:val="left"/>
    </w:pPr>
    <w:rPr>
      <w:rFonts w:ascii="Calibri" w:hAnsi="Calibri" w:eastAsia="Tahoma" w:cs="Droid Sans"/>
      <w:b/>
      <w:color w:val="000000"/>
      <w:spacing w:val="0"/>
      <w:kern w:val="0"/>
      <w:sz w:val="22"/>
      <w:szCs w:val="20"/>
      <w:lang w:val="ru-RU" w:eastAsia="zh-CN" w:bidi="hi-IN"/>
    </w:rPr>
  </w:style>
  <w:style w:type="paragraph" w:styleId="Contents921">
    <w:name w:val="Contents 921"/>
    <w:link w:val="Contents9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TOC9">
    <w:name w:val="toc 9"/>
    <w:next w:val="Normal"/>
    <w:pPr>
      <w:widowControl/>
      <w:suppressAutoHyphens w:val="true"/>
      <w:overflowPunct w:val="true"/>
      <w:bidi w:val="0"/>
      <w:spacing w:lineRule="auto" w:line="240" w:before="0" w:after="0"/>
      <w:ind w:hanging="0" w:left="1600" w:right="0"/>
      <w:jc w:val="left"/>
    </w:pPr>
    <w:rPr>
      <w:rFonts w:ascii="XO Thames" w:hAnsi="XO Thames" w:eastAsia="Tahoma" w:cs="Droid Sans"/>
      <w:color w:val="000000"/>
      <w:spacing w:val="0"/>
      <w:kern w:val="0"/>
      <w:sz w:val="28"/>
      <w:szCs w:val="20"/>
      <w:lang w:val="ru-RU" w:eastAsia="zh-CN" w:bidi="hi-IN"/>
    </w:rPr>
  </w:style>
  <w:style w:type="paragraph" w:styleId="Header11111">
    <w:name w:val="Header11111"/>
    <w:link w:val="Header1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Footer">
    <w:name w:val="footer"/>
    <w:basedOn w:val="Normal"/>
    <w:pPr>
      <w:widowControl/>
      <w:tabs>
        <w:tab w:val="clear" w:pos="708"/>
        <w:tab w:val="center" w:pos="4677" w:leader="none"/>
        <w:tab w:val="right" w:pos="9355" w:leader="none"/>
      </w:tabs>
      <w:spacing w:lineRule="auto" w:line="240" w:before="0" w:after="0"/>
    </w:pPr>
    <w:rPr/>
  </w:style>
  <w:style w:type="paragraph" w:styleId="Contents82">
    <w:name w:val="Contents 82"/>
    <w:link w:val="Contents8"/>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221">
    <w:name w:val="Contents 221"/>
    <w:link w:val="Contents2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Heading52111">
    <w:name w:val="Heading 52111"/>
    <w:link w:val="Heading5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2"/>
      <w:szCs w:val="20"/>
      <w:lang w:val="ru-RU" w:eastAsia="zh-CN" w:bidi="hi-IN"/>
    </w:rPr>
  </w:style>
  <w:style w:type="paragraph" w:styleId="111118">
    <w:name w:val="Символ сноски11111"/>
    <w:link w:val="11117"/>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Internetlink2111">
    <w:name w:val="Internet link2111"/>
    <w:link w:val="Internetlink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80"/>
      <w:spacing w:val="0"/>
      <w:kern w:val="0"/>
      <w:sz w:val="22"/>
      <w:szCs w:val="20"/>
      <w:u w:val="single"/>
      <w:lang w:val="ru-RU" w:eastAsia="zh-CN" w:bidi="hi-IN"/>
    </w:rPr>
  </w:style>
  <w:style w:type="paragraph" w:styleId="17">
    <w:name w:val="Символ концевой сноски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Endnote2111">
    <w:name w:val="Endnote2111"/>
    <w:link w:val="Endnote211"/>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TOC8">
    <w:name w:val="toc 8"/>
    <w:next w:val="Normal"/>
    <w:pPr>
      <w:widowControl/>
      <w:suppressAutoHyphens w:val="true"/>
      <w:overflowPunct w:val="true"/>
      <w:bidi w:val="0"/>
      <w:spacing w:lineRule="auto" w:line="240" w:before="0" w:after="0"/>
      <w:ind w:hanging="0" w:left="1400" w:right="0"/>
      <w:jc w:val="left"/>
    </w:pPr>
    <w:rPr>
      <w:rFonts w:ascii="XO Thames" w:hAnsi="XO Thames" w:eastAsia="Tahoma" w:cs="Droid Sans"/>
      <w:color w:val="000000"/>
      <w:spacing w:val="0"/>
      <w:kern w:val="0"/>
      <w:sz w:val="28"/>
      <w:szCs w:val="20"/>
      <w:lang w:val="ru-RU" w:eastAsia="zh-CN" w:bidi="hi-IN"/>
    </w:rPr>
  </w:style>
  <w:style w:type="paragraph" w:styleId="Internetlink21">
    <w:name w:val="Internet link21"/>
    <w:link w:val="Internetlink2"/>
    <w:qFormat/>
    <w:pPr>
      <w:widowControl/>
      <w:suppressAutoHyphens w:val="true"/>
      <w:overflowPunct w:val="true"/>
      <w:bidi w:val="0"/>
      <w:spacing w:lineRule="auto" w:line="240" w:before="0" w:after="0"/>
      <w:ind w:hanging="0" w:left="0" w:right="0"/>
      <w:jc w:val="left"/>
    </w:pPr>
    <w:rPr>
      <w:rFonts w:ascii="Calibri" w:hAnsi="Calibri" w:eastAsia="Tahoma" w:cs="Droid Sans"/>
      <w:color w:val="000080"/>
      <w:spacing w:val="0"/>
      <w:kern w:val="0"/>
      <w:sz w:val="22"/>
      <w:szCs w:val="20"/>
      <w:u w:val="single"/>
      <w:lang w:val="ru-RU" w:eastAsia="zh-CN" w:bidi="hi-IN"/>
    </w:rPr>
  </w:style>
  <w:style w:type="paragraph" w:styleId="Contents421">
    <w:name w:val="Contents 421"/>
    <w:link w:val="Contents4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91111">
    <w:name w:val="Contents 91111"/>
    <w:link w:val="Contents91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Endnote11111">
    <w:name w:val="Endnote11111"/>
    <w:link w:val="Endnote1111"/>
    <w:qFormat/>
    <w:pPr>
      <w:widowControl/>
      <w:suppressAutoHyphens w:val="true"/>
      <w:overflowPunct w:val="true"/>
      <w:bidi w:val="0"/>
      <w:spacing w:lineRule="auto" w:line="240" w:before="0" w:after="0"/>
      <w:ind w:firstLine="851" w:left="0" w:right="0"/>
      <w:jc w:val="both"/>
    </w:pPr>
    <w:rPr>
      <w:rFonts w:ascii="XO Thames" w:hAnsi="XO Thames" w:eastAsia="Tahoma" w:cs="Droid Sans"/>
      <w:color w:val="000000"/>
      <w:spacing w:val="0"/>
      <w:kern w:val="0"/>
      <w:sz w:val="22"/>
      <w:szCs w:val="20"/>
      <w:lang w:val="ru-RU" w:eastAsia="zh-CN" w:bidi="hi-IN"/>
    </w:rPr>
  </w:style>
  <w:style w:type="paragraph" w:styleId="EndnoteSymbol21">
    <w:name w:val="Endnote Symbol21"/>
    <w:link w:val="EndnoteSymbol2"/>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Subtitle11111">
    <w:name w:val="Subtitle11111"/>
    <w:link w:val="Subtitle1111"/>
    <w:qFormat/>
    <w:pPr>
      <w:widowControl/>
      <w:suppressAutoHyphens w:val="true"/>
      <w:overflowPunct w:val="true"/>
      <w:bidi w:val="0"/>
      <w:spacing w:lineRule="auto" w:line="240" w:before="0" w:after="0"/>
      <w:ind w:hanging="0" w:left="0" w:right="0"/>
      <w:jc w:val="left"/>
    </w:pPr>
    <w:rPr>
      <w:rFonts w:ascii="XO Thames" w:hAnsi="XO Thames" w:eastAsia="Tahoma" w:cs="Droid Sans"/>
      <w:i/>
      <w:color w:val="000000"/>
      <w:spacing w:val="0"/>
      <w:kern w:val="0"/>
      <w:sz w:val="24"/>
      <w:szCs w:val="20"/>
      <w:lang w:val="ru-RU" w:eastAsia="zh-CN" w:bidi="hi-IN"/>
    </w:rPr>
  </w:style>
  <w:style w:type="paragraph" w:styleId="List2111">
    <w:name w:val="List2111"/>
    <w:basedOn w:val="Textbody1111"/>
    <w:link w:val="List211"/>
    <w:qFormat/>
    <w:pPr/>
    <w:rPr/>
  </w:style>
  <w:style w:type="paragraph" w:styleId="Contents12111">
    <w:name w:val="Contents 12111"/>
    <w:link w:val="Contents1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Footnote2111">
    <w:name w:val="Footnote2111"/>
    <w:basedOn w:val="Normal"/>
    <w:link w:val="Footnote211"/>
    <w:qFormat/>
    <w:pPr/>
    <w:rPr/>
  </w:style>
  <w:style w:type="paragraph" w:styleId="TOC5">
    <w:name w:val="toc 5"/>
    <w:next w:val="Normal"/>
    <w:pPr>
      <w:widowControl/>
      <w:suppressAutoHyphens w:val="true"/>
      <w:overflowPunct w:val="true"/>
      <w:bidi w:val="0"/>
      <w:spacing w:lineRule="auto" w:line="240" w:before="0" w:after="0"/>
      <w:ind w:hanging="0" w:left="800" w:right="0"/>
      <w:jc w:val="left"/>
    </w:pPr>
    <w:rPr>
      <w:rFonts w:ascii="XO Thames" w:hAnsi="XO Thames" w:eastAsia="Tahoma" w:cs="Droid Sans"/>
      <w:color w:val="000000"/>
      <w:spacing w:val="0"/>
      <w:kern w:val="0"/>
      <w:sz w:val="28"/>
      <w:szCs w:val="20"/>
      <w:lang w:val="ru-RU" w:eastAsia="zh-CN" w:bidi="hi-IN"/>
    </w:rPr>
  </w:style>
  <w:style w:type="paragraph" w:styleId="Contents521">
    <w:name w:val="Contents 521"/>
    <w:link w:val="Contents5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List21">
    <w:name w:val="List21"/>
    <w:basedOn w:val="Textbody3"/>
    <w:link w:val="List2"/>
    <w:qFormat/>
    <w:pPr/>
    <w:rPr/>
  </w:style>
  <w:style w:type="paragraph" w:styleId="Contents52111">
    <w:name w:val="Contents 52111"/>
    <w:link w:val="Contents5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DefaultParagraphFont11111">
    <w:name w:val="Default Paragraph Font11111"/>
    <w:link w:val="DefaultParagraphFont11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Contents63">
    <w:name w:val="Contents 63"/>
    <w:link w:val="Contents6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111119">
    <w:name w:val="Верхний колонтитул Знак11111"/>
    <w:basedOn w:val="DefaultParagraphFont11111"/>
    <w:link w:val="11118"/>
    <w:qFormat/>
    <w:pPr/>
    <w:rPr/>
  </w:style>
  <w:style w:type="paragraph" w:styleId="FootnoteSymbol11">
    <w:name w:val="Footnote Symbol11"/>
    <w:link w:val="FootnoteSymbol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Contents23">
    <w:name w:val="Contents 23"/>
    <w:link w:val="Contents2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111">
    <w:name w:val="Contents 111"/>
    <w:link w:val="Contents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FootnoteSymbol2111">
    <w:name w:val="Footnote Symbol2111"/>
    <w:link w:val="FootnoteSymbol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Heading313">
    <w:name w:val="Heading 313"/>
    <w:link w:val="Heading3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6"/>
      <w:szCs w:val="20"/>
      <w:lang w:val="ru-RU" w:eastAsia="zh-CN" w:bidi="hi-IN"/>
    </w:rPr>
  </w:style>
  <w:style w:type="paragraph" w:styleId="Heading121">
    <w:name w:val="Heading 121"/>
    <w:link w:val="Heading1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32"/>
      <w:szCs w:val="20"/>
      <w:lang w:val="ru-RU" w:eastAsia="zh-CN" w:bidi="hi-IN"/>
    </w:rPr>
  </w:style>
  <w:style w:type="paragraph" w:styleId="Contents72111">
    <w:name w:val="Contents 72111"/>
    <w:link w:val="Contents7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115">
    <w:name w:val="Символ нумерации11"/>
    <w:link w:val="14"/>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Heading22111">
    <w:name w:val="Heading 22111"/>
    <w:link w:val="Heading22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Subtitle">
    <w:name w:val="Subtitle"/>
    <w:next w:val="Normal"/>
    <w:qFormat/>
    <w:pPr>
      <w:widowControl/>
      <w:suppressAutoHyphens w:val="true"/>
      <w:overflowPunct w:val="true"/>
      <w:bidi w:val="0"/>
      <w:spacing w:lineRule="auto" w:line="240" w:before="0" w:after="0"/>
      <w:ind w:hanging="0" w:left="0" w:right="0"/>
      <w:jc w:val="both"/>
    </w:pPr>
    <w:rPr>
      <w:rFonts w:ascii="XO Thames" w:hAnsi="XO Thames" w:eastAsia="Tahoma" w:cs="Droid Sans"/>
      <w:i/>
      <w:color w:val="000000"/>
      <w:spacing w:val="0"/>
      <w:kern w:val="0"/>
      <w:sz w:val="24"/>
      <w:szCs w:val="20"/>
      <w:lang w:val="ru-RU" w:eastAsia="zh-CN" w:bidi="hi-IN"/>
    </w:rPr>
  </w:style>
  <w:style w:type="paragraph" w:styleId="Caption211">
    <w:name w:val="Caption211"/>
    <w:link w:val="Caption21"/>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4"/>
      <w:szCs w:val="20"/>
      <w:lang w:val="ru-RU" w:eastAsia="zh-CN" w:bidi="hi-IN"/>
    </w:rPr>
  </w:style>
  <w:style w:type="paragraph" w:styleId="Heading3121">
    <w:name w:val="Heading 3121"/>
    <w:link w:val="Heading31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6"/>
      <w:szCs w:val="20"/>
      <w:lang w:val="ru-RU" w:eastAsia="zh-CN" w:bidi="hi-IN"/>
    </w:rPr>
  </w:style>
  <w:style w:type="paragraph" w:styleId="Emphasis11">
    <w:name w:val="Emphasis11"/>
    <w:link w:val="Emphasis1"/>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2"/>
      <w:szCs w:val="20"/>
      <w:lang w:val="ru-RU" w:eastAsia="zh-CN" w:bidi="hi-IN"/>
    </w:rPr>
  </w:style>
  <w:style w:type="paragraph" w:styleId="Heading411111">
    <w:name w:val="Heading 411111"/>
    <w:link w:val="Heading411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4"/>
      <w:szCs w:val="20"/>
      <w:lang w:val="ru-RU" w:eastAsia="zh-CN" w:bidi="hi-IN"/>
    </w:rPr>
  </w:style>
  <w:style w:type="paragraph" w:styleId="Contents73">
    <w:name w:val="Contents 73"/>
    <w:link w:val="Contents7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Title">
    <w:name w:val="Title"/>
    <w:next w:val="Normal"/>
    <w:qFormat/>
    <w:pPr>
      <w:widowControl/>
      <w:suppressAutoHyphens w:val="true"/>
      <w:overflowPunct w:val="true"/>
      <w:bidi w:val="0"/>
      <w:spacing w:lineRule="auto" w:line="240" w:before="567" w:after="567"/>
      <w:ind w:hanging="0" w:left="0" w:right="0"/>
      <w:jc w:val="center"/>
    </w:pPr>
    <w:rPr>
      <w:rFonts w:ascii="XO Thames" w:hAnsi="XO Thames" w:eastAsia="Tahoma" w:cs="Droid Sans"/>
      <w:b/>
      <w:caps/>
      <w:color w:val="000000"/>
      <w:spacing w:val="0"/>
      <w:kern w:val="0"/>
      <w:sz w:val="40"/>
      <w:szCs w:val="20"/>
      <w:lang w:val="ru-RU" w:eastAsia="zh-CN" w:bidi="hi-IN"/>
    </w:rPr>
  </w:style>
  <w:style w:type="paragraph" w:styleId="Contents621">
    <w:name w:val="Contents 621"/>
    <w:link w:val="Contents62"/>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EndnoteSymbol2111">
    <w:name w:val="Endnote Symbol2111"/>
    <w:link w:val="EndnoteSymbol2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116">
    <w:name w:val="Маркеры11"/>
    <w:link w:val="15"/>
    <w:qFormat/>
    <w:pPr>
      <w:widowControl/>
      <w:suppressAutoHyphens w:val="true"/>
      <w:overflowPunct w:val="true"/>
      <w:bidi w:val="0"/>
      <w:spacing w:lineRule="auto" w:line="240" w:before="0" w:after="0"/>
      <w:ind w:hanging="0" w:left="0" w:right="0"/>
      <w:jc w:val="left"/>
    </w:pPr>
    <w:rPr>
      <w:rFonts w:ascii="OpenSymbol" w:hAnsi="OpenSymbol" w:eastAsia="Tahoma" w:cs="Droid Sans"/>
      <w:color w:val="000000"/>
      <w:spacing w:val="0"/>
      <w:kern w:val="0"/>
      <w:sz w:val="22"/>
      <w:szCs w:val="20"/>
      <w:lang w:val="ru-RU" w:eastAsia="zh-CN" w:bidi="hi-IN"/>
    </w:rPr>
  </w:style>
  <w:style w:type="paragraph" w:styleId="Heading521">
    <w:name w:val="Heading 521"/>
    <w:link w:val="Heading52"/>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2"/>
      <w:szCs w:val="20"/>
      <w:lang w:val="ru-RU" w:eastAsia="zh-CN" w:bidi="hi-IN"/>
    </w:rPr>
  </w:style>
  <w:style w:type="paragraph" w:styleId="Contents11111">
    <w:name w:val="Contents 11111"/>
    <w:link w:val="Contents11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1115">
    <w:name w:val="Символ сноски111"/>
    <w:link w:val="113"/>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vertAlign w:val="superscript"/>
      <w:lang w:val="ru-RU" w:eastAsia="zh-CN" w:bidi="hi-IN"/>
    </w:rPr>
  </w:style>
  <w:style w:type="paragraph" w:styleId="Heading31311">
    <w:name w:val="Heading 31311"/>
    <w:link w:val="Heading313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6"/>
      <w:szCs w:val="20"/>
      <w:lang w:val="ru-RU" w:eastAsia="zh-CN" w:bidi="hi-IN"/>
    </w:rPr>
  </w:style>
  <w:style w:type="paragraph" w:styleId="Contents7311">
    <w:name w:val="Contents 7311"/>
    <w:link w:val="Contents73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Contents62111">
    <w:name w:val="Contents 62111"/>
    <w:link w:val="Contents6211"/>
    <w:qFormat/>
    <w:pPr>
      <w:widowControl/>
      <w:suppressAutoHyphens w:val="true"/>
      <w:overflowPunct w:val="true"/>
      <w:bidi w:val="0"/>
      <w:spacing w:lineRule="auto" w:line="240" w:before="0" w:after="0"/>
      <w:ind w:hanging="0" w:left="0" w:right="0"/>
      <w:jc w:val="left"/>
    </w:pPr>
    <w:rPr>
      <w:rFonts w:ascii="XO Thames" w:hAnsi="XO Thames" w:eastAsia="Tahoma" w:cs="Droid Sans"/>
      <w:color w:val="000000"/>
      <w:spacing w:val="0"/>
      <w:kern w:val="0"/>
      <w:sz w:val="28"/>
      <w:szCs w:val="20"/>
      <w:lang w:val="ru-RU" w:eastAsia="zh-CN" w:bidi="hi-IN"/>
    </w:rPr>
  </w:style>
  <w:style w:type="paragraph" w:styleId="Textbody21">
    <w:name w:val="Text body21"/>
    <w:link w:val="Textbody2"/>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Footer13">
    <w:name w:val="Footer13"/>
    <w:link w:val="Footer11"/>
    <w:qFormat/>
    <w:pPr>
      <w:widowControl/>
      <w:suppressAutoHyphens w:val="true"/>
      <w:overflowPunct w:val="true"/>
      <w:bidi w:val="0"/>
      <w:spacing w:lineRule="auto" w:line="240" w:before="0" w:after="0"/>
      <w:ind w:hanging="0" w:left="0" w:right="0"/>
      <w:jc w:val="left"/>
    </w:pPr>
    <w:rPr>
      <w:rFonts w:ascii="Calibri" w:hAnsi="Calibri" w:eastAsia="Tahoma" w:cs="Droid Sans"/>
      <w:color w:val="000000"/>
      <w:spacing w:val="0"/>
      <w:kern w:val="0"/>
      <w:sz w:val="22"/>
      <w:szCs w:val="20"/>
      <w:lang w:val="ru-RU" w:eastAsia="zh-CN" w:bidi="hi-IN"/>
    </w:rPr>
  </w:style>
  <w:style w:type="paragraph" w:styleId="Heading211111">
    <w:name w:val="Heading 211111"/>
    <w:link w:val="Heading21111"/>
    <w:qFormat/>
    <w:pPr>
      <w:widowControl/>
      <w:suppressAutoHyphens w:val="true"/>
      <w:overflowPunct w:val="true"/>
      <w:bidi w:val="0"/>
      <w:spacing w:lineRule="auto" w:line="240" w:before="0" w:after="0"/>
      <w:ind w:hanging="0" w:left="0" w:right="0"/>
      <w:jc w:val="left"/>
    </w:pPr>
    <w:rPr>
      <w:rFonts w:ascii="XO Thames" w:hAnsi="XO Thames" w:eastAsia="Tahoma" w:cs="Droid Sans"/>
      <w:b/>
      <w:color w:val="000000"/>
      <w:spacing w:val="0"/>
      <w:kern w:val="0"/>
      <w:sz w:val="28"/>
      <w:szCs w:val="20"/>
      <w:lang w:val="ru-RU" w:eastAsia="zh-CN" w:bidi="hi-IN"/>
    </w:rPr>
  </w:style>
  <w:style w:type="paragraph" w:styleId="List111">
    <w:name w:val="List111"/>
    <w:basedOn w:val="Textbody21"/>
    <w:link w:val="List11"/>
    <w:qFormat/>
    <w:pPr/>
    <w:rPr/>
  </w:style>
  <w:style w:type="paragraph" w:styleId="Caption12111">
    <w:name w:val="Caption12111"/>
    <w:link w:val="Caption1211"/>
    <w:qFormat/>
    <w:pPr>
      <w:widowControl/>
      <w:suppressAutoHyphens w:val="true"/>
      <w:overflowPunct w:val="true"/>
      <w:bidi w:val="0"/>
      <w:spacing w:lineRule="auto" w:line="240" w:before="0" w:after="0"/>
      <w:ind w:hanging="0" w:left="0" w:right="0"/>
      <w:jc w:val="left"/>
    </w:pPr>
    <w:rPr>
      <w:rFonts w:ascii="Calibri" w:hAnsi="Calibri" w:eastAsia="Tahoma" w:cs="Droid Sans"/>
      <w:i/>
      <w:color w:val="000000"/>
      <w:spacing w:val="0"/>
      <w:kern w:val="0"/>
      <w:sz w:val="24"/>
      <w:szCs w:val="20"/>
      <w:lang w:val="ru-RU" w:eastAsia="zh-CN" w:bidi="hi-IN"/>
    </w:rPr>
  </w:style>
  <w:style w:type="paragraph" w:styleId="StrongEmphasis21">
    <w:name w:val="Strong Emphasis21"/>
    <w:link w:val="StrongEmphasis2"/>
    <w:qFormat/>
    <w:pPr>
      <w:widowControl/>
      <w:suppressAutoHyphens w:val="true"/>
      <w:overflowPunct w:val="true"/>
      <w:bidi w:val="0"/>
      <w:spacing w:lineRule="auto" w:line="240" w:before="0" w:after="0"/>
      <w:ind w:hanging="0" w:left="0" w:right="0"/>
      <w:jc w:val="left"/>
    </w:pPr>
    <w:rPr>
      <w:rFonts w:ascii="Calibri" w:hAnsi="Calibri" w:eastAsia="Tahoma" w:cs="Droid Sans"/>
      <w:b/>
      <w:color w:val="000000"/>
      <w:spacing w:val="0"/>
      <w:kern w:val="0"/>
      <w:sz w:val="22"/>
      <w:szCs w:val="20"/>
      <w:lang w:val="ru-RU" w:eastAsia="zh-CN" w:bidi="hi-IN"/>
    </w:rPr>
  </w:style>
  <w:style w:type="paragraph" w:styleId="user">
    <w:name w:val="Содержимое таблицы (user)"/>
    <w:basedOn w:val="Normal"/>
    <w:qFormat/>
    <w:pPr>
      <w:widowControl w:val="false"/>
      <w:suppressLineNumbers/>
    </w:pPr>
    <w:rPr/>
  </w:style>
  <w:style w:type="paragraph" w:styleId="Style15">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1601</TotalTime>
  <Application>LibreOffice/24.8.7.2$Linux_X86_64 LibreOffice_project/480$Build-2</Application>
  <AppVersion>15.0000</AppVersion>
  <Pages>26</Pages>
  <Words>7454</Words>
  <Characters>53525</Characters>
  <CharactersWithSpaces>60869</CharactersWithSpaces>
  <Paragraphs>311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2026-08-03T14:59:04Z</dcterms:created>
  <dc:creator/>
  <dc:description/>
  <dc:language>ru-RU</dc:language>
  <cp:lastModifiedBy/>
  <cp:lastPrinted>2026-10-22T10:45:38Z</cp:lastPrinted>
  <dcterms:modified xsi:type="dcterms:W3CDTF">2026-10-23T14:00:03Z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file>