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"Обзор судебной практики в сфере закупок для государственных и муниципальных нужд (май 2026 года)"</w:t>
              <w:br/>
              <w:t xml:space="preserve">(Управление контроля размещения государственного заказа ФАС России)</w:t>
              <w:br/>
              <w:t xml:space="preserve">(Подготовлен для системы КонсультантПлюс, 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23.09.2026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right"/>
            </w:pPr>
            <w:r>
              <w:rPr>
                <w:sz w:val="24"/>
                <w:color w:val="392c69"/>
              </w:rPr>
              <w:t xml:space="preserve">Подготовлен для системы КонсультантПлюс</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jc w:val="center"/>
      </w:pPr>
      <w:r>
        <w:rPr>
          <w:sz w:val="24"/>
        </w:rPr>
        <w:t xml:space="preserve">ОБЗОР СУДЕБНОЙ ПРАКТИКИ В СФЕРЕ ЗАКУПОК</w:t>
      </w:r>
    </w:p>
    <w:p>
      <w:pPr>
        <w:pStyle w:val="2"/>
        <w:jc w:val="center"/>
      </w:pPr>
      <w:r>
        <w:rPr>
          <w:sz w:val="24"/>
        </w:rPr>
        <w:t xml:space="preserve">ДЛЯ ГОСУДАРСТВЕННЫХ И МУНИЦИПАЛЬНЫХ НУЖД</w:t>
      </w:r>
    </w:p>
    <w:p>
      <w:pPr>
        <w:pStyle w:val="2"/>
        <w:jc w:val="center"/>
      </w:pPr>
      <w:r>
        <w:rPr>
          <w:sz w:val="24"/>
        </w:rPr>
        <w:t xml:space="preserve">(МАЙ 2026 ГОДА)</w:t>
      </w:r>
    </w:p>
    <w:p>
      <w:pPr>
        <w:pStyle w:val="0"/>
        <w:ind w:firstLine="540"/>
        <w:jc w:val="both"/>
      </w:pPr>
      <w:r>
        <w:rPr>
          <w:sz w:val="24"/>
        </w:rPr>
      </w:r>
    </w:p>
    <w:p>
      <w:pPr>
        <w:pStyle w:val="0"/>
        <w:jc w:val="center"/>
      </w:pPr>
      <w:r>
        <w:rPr>
          <w:sz w:val="24"/>
        </w:rPr>
        <w:t xml:space="preserve">Материал подготовлен с использованием правовых актов</w:t>
      </w:r>
    </w:p>
    <w:p>
      <w:pPr>
        <w:pStyle w:val="0"/>
        <w:jc w:val="center"/>
      </w:pPr>
      <w:r>
        <w:rPr>
          <w:sz w:val="24"/>
        </w:rPr>
        <w:t xml:space="preserve">по состоянию на 31 мая 2026 года</w:t>
      </w:r>
    </w:p>
    <w:p>
      <w:pPr>
        <w:pStyle w:val="0"/>
        <w:ind w:firstLine="540"/>
        <w:jc w:val="both"/>
      </w:pPr>
      <w:r>
        <w:rPr>
          <w:sz w:val="24"/>
        </w:rPr>
      </w:r>
    </w:p>
    <w:p>
      <w:pPr>
        <w:pStyle w:val="2"/>
        <w:outlineLvl w:val="0"/>
        <w:ind w:firstLine="540"/>
        <w:jc w:val="both"/>
      </w:pPr>
      <w:r>
        <w:rPr>
          <w:sz w:val="24"/>
        </w:rPr>
        <w:t xml:space="preserve">1. Не допускается объединение в один лот закупки строительно-монтажных работ и поставки немонтируемого оборудования.</w:t>
      </w:r>
    </w:p>
    <w:p>
      <w:pPr>
        <w:pStyle w:val="0"/>
        <w:ind w:firstLine="540"/>
        <w:jc w:val="both"/>
      </w:pPr>
      <w:r>
        <w:rPr>
          <w:sz w:val="24"/>
        </w:rPr>
      </w:r>
    </w:p>
    <w:p>
      <w:pPr>
        <w:pStyle w:val="0"/>
        <w:ind w:firstLine="540"/>
        <w:jc w:val="both"/>
      </w:pPr>
      <w:r>
        <w:rPr>
          <w:sz w:val="24"/>
        </w:rPr>
        <w:t xml:space="preserve">В ФАС России в соответствии с </w:t>
      </w:r>
      <w:hyperlink w:history="0" r:id="rId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пунктом 25 части 1 статьи 93</w:t>
        </w:r>
      </w:hyperlink>
      <w:r>
        <w:rPr>
          <w:sz w:val="24"/>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поступило обращение АО "514 АРЗ" (далее - Заказчик) о согласовании заключения контракта с единственным поставщиком (подрядчиком, исполнителем).</w:t>
      </w:r>
    </w:p>
    <w:p>
      <w:pPr>
        <w:pStyle w:val="0"/>
        <w:spacing w:before="240" w:lineRule="auto"/>
        <w:ind w:firstLine="540"/>
        <w:jc w:val="both"/>
      </w:pPr>
      <w:r>
        <w:rPr>
          <w:sz w:val="24"/>
        </w:rPr>
        <w:t xml:space="preserve">По результатам проведения внеплановой проверки в соответствии с </w:t>
      </w:r>
      <w:hyperlink w:history="0" r:id="rId9" w:tooltip="Постановление Правительства РФ от 30.06.2020 N 961 (ред. от 09.12.2024) &quot;Об установлении предельного размера (предельных размеров) начальной (максимальной) цены контракта, при превышении которого заключение контракта с единственным поставщиком (подрядчиком, исполнителем) в случае признания конкурса или аукциона несостоявшимися осуществляется по согласованию с контрольным органом в сфере закупок товаров, работ, услуг для обеспечения государственных и муниципальных нужд, об утверждении Правил согласования кон {КонсультантПлюс}">
        <w:r>
          <w:rPr>
            <w:sz w:val="24"/>
            <w:color w:val="0000ff"/>
          </w:rPr>
          <w:t xml:space="preserve">пунктом 11</w:t>
        </w:r>
      </w:hyperlink>
      <w:r>
        <w:rPr>
          <w:sz w:val="24"/>
        </w:rPr>
        <w:t xml:space="preserve"> правил согласования контрольным органом в сфере закупок товаров, работ, услуг для обеспечения государственных и муниципальных нужд заключения контракта с единственным поставщиком (подрядчиком, исполнителем) (далее - Правила), утвержденных Постановлением Правительства Российской Федерации от 30.06.2020 N 961, Комиссией ФАС России вынесено </w:t>
      </w:r>
      <w:hyperlink w:history="0" r:id="rId10" w:tooltip="Ссылка на КонсультантПлюс">
        <w:r>
          <w:rPr>
            <w:sz w:val="24"/>
            <w:color w:val="0000ff"/>
          </w:rPr>
          <w:t xml:space="preserve">решение</w:t>
        </w:r>
      </w:hyperlink>
      <w:r>
        <w:rPr>
          <w:sz w:val="24"/>
        </w:rPr>
        <w:t xml:space="preserve"> от 08.07.2025 по делу N 25/44/93/331 об отказе в согласовании заключения контракта с единственным поставщиком (подрядчиком, исполнителем) (далее - Решение), которым в действиях Заказчика установлены нарушения </w:t>
      </w:r>
      <w:hyperlink w:history="0" r:id="rId1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пункта 1 части 2</w:t>
        </w:r>
      </w:hyperlink>
      <w:r>
        <w:rPr>
          <w:sz w:val="24"/>
        </w:rPr>
        <w:t xml:space="preserve"> и </w:t>
      </w:r>
      <w:hyperlink w:history="0" r:id="rId1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пункта 15 части 1 статьи 42</w:t>
        </w:r>
      </w:hyperlink>
      <w:r>
        <w:rPr>
          <w:sz w:val="24"/>
        </w:rPr>
        <w:t xml:space="preserve"> Закона о контрактной системе.</w:t>
      </w:r>
    </w:p>
    <w:p>
      <w:pPr>
        <w:pStyle w:val="0"/>
        <w:spacing w:before="240" w:lineRule="auto"/>
        <w:ind w:firstLine="540"/>
        <w:jc w:val="both"/>
      </w:pPr>
      <w:r>
        <w:rPr>
          <w:sz w:val="24"/>
        </w:rPr>
        <w:t xml:space="preserve">Как следует из обстоятельств дела, Заказчиком проведен открытый конкурс в электронной форме на выполнение строительно-монтажных работ по объекту "Реконструкция взлетно-посадочной полосы, рулежных дорожек, бетонных площадок и объектов инфраструктуры аэродрома акционерного общества "514 авиационный ремонтный завод" (номер извещения в единой информационной системе в сфере закупок </w:t>
      </w:r>
      <w:hyperlink w:history="0" r:id="rId13">
        <w:r>
          <w:rPr>
            <w:sz w:val="24"/>
            <w:color w:val="0000ff"/>
          </w:rPr>
          <w:t xml:space="preserve">www.zakupki.gov.ru</w:t>
        </w:r>
      </w:hyperlink>
      <w:r>
        <w:rPr>
          <w:sz w:val="24"/>
        </w:rPr>
        <w:t xml:space="preserve"> (далее - ЕИС) - 0436000000625000002) с начальной (максимальной) ценой контракта в размере 1 880 588 554,24 руб. (далее - Конкурс), вместе с тем по окончании срока подачи заявок не подано ни одной заявки на участие в закупке, в связи с чем Конкурс признан несостоявшимся.</w:t>
      </w:r>
    </w:p>
    <w:p>
      <w:pPr>
        <w:pStyle w:val="0"/>
        <w:spacing w:before="240" w:lineRule="auto"/>
        <w:ind w:firstLine="540"/>
        <w:jc w:val="both"/>
      </w:pPr>
      <w:r>
        <w:rPr>
          <w:sz w:val="24"/>
        </w:rPr>
        <w:t xml:space="preserve">Комиссией установлено, что закупка осуществляется в рамках бюджетных инвестиций в объекты капитального строительства в рамках государственного оборонного заказа.</w:t>
      </w:r>
    </w:p>
    <w:p>
      <w:pPr>
        <w:pStyle w:val="0"/>
        <w:spacing w:before="240" w:lineRule="auto"/>
        <w:ind w:firstLine="540"/>
        <w:jc w:val="both"/>
      </w:pPr>
      <w:r>
        <w:rPr>
          <w:sz w:val="24"/>
        </w:rPr>
        <w:t xml:space="preserve">Согласно </w:t>
      </w:r>
      <w:hyperlink w:history="0" r:id="rId1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пункту 8 части 1 статьи 33</w:t>
        </w:r>
      </w:hyperlink>
      <w:r>
        <w:rPr>
          <w:sz w:val="24"/>
        </w:rPr>
        <w:t xml:space="preserve"> Закона о контрактной системе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соответствии с </w:t>
      </w:r>
      <w:hyperlink w:history="0" r:id="rId1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Законом</w:t>
        </w:r>
      </w:hyperlink>
      <w:r>
        <w:rPr>
          <w:sz w:val="24"/>
        </w:rPr>
        <w:t xml:space="preserve"> о контрактной системе не требуется, а также случаев осуществления закупки в соответствии с </w:t>
      </w:r>
      <w:hyperlink w:history="0" r:id="rId1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частями 16</w:t>
        </w:r>
      </w:hyperlink>
      <w:r>
        <w:rPr>
          <w:sz w:val="24"/>
        </w:rPr>
        <w:t xml:space="preserve"> и </w:t>
      </w:r>
      <w:hyperlink w:history="0" r:id="rId1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16.1 статьи 34</w:t>
        </w:r>
      </w:hyperlink>
      <w:r>
        <w:rPr>
          <w:sz w:val="24"/>
        </w:rPr>
        <w:t xml:space="preserve"> Закона о контрактной системе, при которых предметом контракта является в том числе проектирование объекта капитального строительства. Включение проектной документации в описание объекта закупки в соответствии с </w:t>
      </w:r>
      <w:hyperlink w:history="0" r:id="rId1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пунктом 8 части 1 статьи 33</w:t>
        </w:r>
      </w:hyperlink>
      <w:r>
        <w:rPr>
          <w:sz w:val="24"/>
        </w:rPr>
        <w:t xml:space="preserve"> Закона о контрактной системе является надлежащим исполнением требований </w:t>
      </w:r>
      <w:hyperlink w:history="0" r:id="rId1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пунктов 1</w:t>
        </w:r>
      </w:hyperlink>
      <w:r>
        <w:rPr>
          <w:sz w:val="24"/>
        </w:rPr>
        <w:t xml:space="preserve"> - </w:t>
      </w:r>
      <w:hyperlink w:history="0" r:id="rId2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3 части 1 статьи 33</w:t>
        </w:r>
      </w:hyperlink>
      <w:r>
        <w:rPr>
          <w:sz w:val="24"/>
        </w:rPr>
        <w:t xml:space="preserve"> Закона о контрактной системе, </w:t>
      </w:r>
      <w:hyperlink w:history="0" r:id="rId2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части 2 статьи 33</w:t>
        </w:r>
      </w:hyperlink>
      <w:r>
        <w:rPr>
          <w:sz w:val="24"/>
        </w:rPr>
        <w:t xml:space="preserve"> Закона о контрактной системе.</w:t>
      </w:r>
    </w:p>
    <w:p>
      <w:pPr>
        <w:pStyle w:val="0"/>
        <w:spacing w:before="240" w:lineRule="auto"/>
        <w:ind w:firstLine="540"/>
        <w:jc w:val="both"/>
      </w:pPr>
      <w:r>
        <w:rPr>
          <w:sz w:val="24"/>
        </w:rPr>
        <w:t xml:space="preserve">В соответствии с </w:t>
      </w:r>
      <w:hyperlink w:history="0" r:id="rId2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частью 63.1 статьи 112</w:t>
        </w:r>
      </w:hyperlink>
      <w:r>
        <w:rPr>
          <w:sz w:val="24"/>
        </w:rPr>
        <w:t xml:space="preserve"> Закона о контрактной системе до 01.01.2026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контракта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pPr>
        <w:pStyle w:val="0"/>
        <w:spacing w:before="240" w:lineRule="auto"/>
        <w:ind w:firstLine="540"/>
        <w:jc w:val="both"/>
      </w:pPr>
      <w:r>
        <w:rPr>
          <w:sz w:val="24"/>
        </w:rPr>
        <w:t xml:space="preserve">Комиссией установлено, что согласно локальным сметным расчетам проектной документации описания объекта закупки Извещения (далее - Описание объекта закупки) подрядчик в ходе исполнения контракта обязан осуществить поставку технологического оборудования, например, "Камеры видеонаблюдения", "Монитор", "Светильники", перечень не является исчерпывающим.</w:t>
      </w:r>
    </w:p>
    <w:p>
      <w:pPr>
        <w:pStyle w:val="0"/>
        <w:spacing w:before="240" w:lineRule="auto"/>
        <w:ind w:firstLine="540"/>
        <w:jc w:val="both"/>
      </w:pPr>
      <w:r>
        <w:rPr>
          <w:sz w:val="24"/>
        </w:rPr>
        <w:t xml:space="preserve">Следовательно, в объект проводимой закупки помимо работ включены обязательства подрядчика по поставке немонтируемого технологического оборудования.</w:t>
      </w:r>
    </w:p>
    <w:p>
      <w:pPr>
        <w:pStyle w:val="0"/>
        <w:spacing w:before="240" w:lineRule="auto"/>
        <w:ind w:firstLine="540"/>
        <w:jc w:val="both"/>
      </w:pPr>
      <w:r>
        <w:rPr>
          <w:sz w:val="24"/>
        </w:rPr>
        <w:t xml:space="preserve">ФАС России отметила, что в качестве оборудования, необходимого для обеспечения эксплуатации объекта капитального строительства, следует рассматривать оборудование, поставка и установка которого невозможна впоследствии без изменения предусмотренных проектом конструктивных решений объекта строительства, то есть неразрывно связанных с выполняемыми работами (такими как инженерное оборудование, системы вентиляции, искусственного освещения и т.д.), монтаж которых должен осуществляться во время выполнения работ и которые необходимы для ввода объекта в эксплуатацию.</w:t>
      </w:r>
    </w:p>
    <w:p>
      <w:pPr>
        <w:pStyle w:val="0"/>
        <w:spacing w:before="240" w:lineRule="auto"/>
        <w:ind w:firstLine="540"/>
        <w:jc w:val="both"/>
      </w:pPr>
      <w:r>
        <w:rPr>
          <w:sz w:val="24"/>
        </w:rPr>
        <w:t xml:space="preserve">Вместе с тем указанное в Описании объекта закупки немонтируемое технологическое оборудование не относится к оборудованию, обеспечивающему эксплуатацию объекта капитального строительства.</w:t>
      </w:r>
    </w:p>
    <w:p>
      <w:pPr>
        <w:pStyle w:val="0"/>
        <w:spacing w:before="240" w:lineRule="auto"/>
        <w:ind w:firstLine="540"/>
        <w:jc w:val="both"/>
      </w:pPr>
      <w:r>
        <w:rPr>
          <w:sz w:val="24"/>
        </w:rPr>
        <w:t xml:space="preserve">Учитывая изложенное, ФАС России пришла к выводу, что Заказчиком, неправомерно осуществлено объединение в один объект закупки выполнения работ и поставки вышеуказанного оборудования, поскольку указанные товары, работы образуют разные товарные рынки, не обладают какими-либо родовыми, однородными признаками, что приводит к необоснованному ограничению количества участников закупки.</w:t>
      </w:r>
    </w:p>
    <w:p>
      <w:pPr>
        <w:pStyle w:val="0"/>
        <w:spacing w:before="240" w:lineRule="auto"/>
        <w:ind w:firstLine="540"/>
        <w:jc w:val="both"/>
      </w:pPr>
      <w:r>
        <w:rPr>
          <w:sz w:val="24"/>
        </w:rPr>
        <w:t xml:space="preserve">Заказчик, не согласившись с </w:t>
      </w:r>
      <w:hyperlink w:history="0" r:id="rId23" w:tooltip="Ссылка на КонсультантПлюс">
        <w:r>
          <w:rPr>
            <w:sz w:val="24"/>
            <w:color w:val="0000ff"/>
          </w:rPr>
          <w:t xml:space="preserve">Решением</w:t>
        </w:r>
      </w:hyperlink>
      <w:r>
        <w:rPr>
          <w:sz w:val="24"/>
        </w:rPr>
        <w:t xml:space="preserve">, обжаловал его в судебном порядке. Вместе с тем решением Арбитражного суда города Москвы от 03.12.2025, оставленным без изменения </w:t>
      </w:r>
      <w:hyperlink w:history="0" r:id="rId24" w:tooltip="Постановление Девятого арбитражного апелляционного суда от 16.03.2026 N 09АП-68314/2025 по делу N А40-188277/2025 Категория: Споры в сфере закупок для государственных и муниципальных нужд. Требования заказчика: Об оспаривании актов антимонопольного органа в сфере закупок. Обстоятельства: Заказчик неправомерно объединил в один объект закупки выполнение работ и поставку оборудования, не связанного с эксплуатацией объекта. Решение: Отказано. {КонсультантПлюс}">
        <w:r>
          <w:rPr>
            <w:sz w:val="24"/>
            <w:color w:val="0000ff"/>
          </w:rPr>
          <w:t xml:space="preserve">Постановлением</w:t>
        </w:r>
      </w:hyperlink>
      <w:r>
        <w:rPr>
          <w:sz w:val="24"/>
        </w:rPr>
        <w:t xml:space="preserve"> Девятого арбитражного апелляционного суда от 16.03.2026, </w:t>
      </w:r>
      <w:hyperlink w:history="0" r:id="rId25" w:tooltip="Постановление Арбитражного суда Московского округа от 26.05.2026 N Ф05-6228/2026 по делу N А40-188277/2025 Требование: О признании незаконным решения антимонопольного органа. Обстоятельства: Оспариваемым решением в действиях заказчика были установлены нарушения антимонопольного законодательства. Решение: В удовлетворении требования отказано, поскольку установлено, что заказчик неправомерно объединил в один объект закупки выполнение работ и поставку оборудования, не связанного с эксплуатацией объекта. {КонсультантПлюс}">
        <w:r>
          <w:rPr>
            <w:sz w:val="24"/>
            <w:color w:val="0000ff"/>
          </w:rPr>
          <w:t xml:space="preserve">Постановлением</w:t>
        </w:r>
      </w:hyperlink>
      <w:r>
        <w:rPr>
          <w:sz w:val="24"/>
        </w:rPr>
        <w:t xml:space="preserve"> Арбитражного суда Московского округа от 26.05.2026 по делу N А40-188277/2025, Заказчику отказано в удовлетворении заявленных требований.</w:t>
      </w:r>
    </w:p>
    <w:p>
      <w:pPr>
        <w:pStyle w:val="0"/>
        <w:spacing w:before="240" w:lineRule="auto"/>
        <w:ind w:firstLine="540"/>
        <w:jc w:val="both"/>
      </w:pPr>
      <w:r>
        <w:rPr>
          <w:sz w:val="24"/>
        </w:rPr>
        <w:t xml:space="preserve">Арбитражный суд Московского округа обратил внимание на последствия неправомерного объединения в один лот работ по строительству и поставке немонтируемого оборудования, подчеркнув следующее:</w:t>
      </w:r>
    </w:p>
    <w:p>
      <w:pPr>
        <w:pStyle w:val="0"/>
        <w:spacing w:before="240" w:lineRule="auto"/>
        <w:ind w:firstLine="540"/>
        <w:jc w:val="both"/>
      </w:pPr>
      <w:r>
        <w:rPr>
          <w:sz w:val="24"/>
          <w:i w:val="on"/>
        </w:rPr>
        <w:t xml:space="preserve">"Суды также обратили внимание, что закупка "под ключ" - это одновременное выполнение подготовки проектной документации и (или) выполнение инженерных изысканий, выполнение работ по строительству, реконструкции объектов капитального строительства здания или сооружения, в отношении которых в соответствии с законодательством Российской Федерации о градостроительной деятельности получено разрешение на ввод их в эксплуатацию, в то время как в рамках рассматриваемого дела Заказчиком закупаются товары, которые не влияют на конструктивные элементы здания, установка которых впоследствии не приведет к изменениям объекта строительства. Также данные товары не способствуют эксплуатации здания.</w:t>
      </w:r>
    </w:p>
    <w:p>
      <w:pPr>
        <w:pStyle w:val="0"/>
        <w:spacing w:before="240" w:lineRule="auto"/>
        <w:ind w:firstLine="540"/>
        <w:jc w:val="both"/>
      </w:pPr>
      <w:r>
        <w:rPr>
          <w:sz w:val="24"/>
          <w:i w:val="on"/>
        </w:rPr>
        <w:t xml:space="preserve">Суды указали, что выполнение работ и поставка товаров представляют собой различные предметы закупки и различные рынки, а, следовательно, имеют место быть два различных круга участников закупок - участники, выполняющие Работы, и участники, осуществляющие поставку товаров.</w:t>
      </w:r>
    </w:p>
    <w:p>
      <w:pPr>
        <w:pStyle w:val="0"/>
        <w:spacing w:before="240" w:lineRule="auto"/>
        <w:ind w:firstLine="540"/>
        <w:jc w:val="both"/>
      </w:pPr>
      <w:r>
        <w:rPr>
          <w:sz w:val="24"/>
          <w:i w:val="on"/>
        </w:rPr>
        <w:t xml:space="preserve">Суды пришли к верному выводу о том, что заказчик, включивший в одну закупку выполнение работ, а также поставку немонтируемого оборудования и оборудования, которое не требуется при эксплуатации объекта, лишает права участников, осуществляющих поставку таких товаров, участвовать в таких закупках, необоснованно укрупняет лот, что влечет ограничение количества участников закупки.</w:t>
      </w:r>
    </w:p>
    <w:p>
      <w:pPr>
        <w:pStyle w:val="0"/>
        <w:spacing w:before="240" w:lineRule="auto"/>
        <w:ind w:firstLine="540"/>
        <w:jc w:val="both"/>
      </w:pPr>
      <w:r>
        <w:rPr>
          <w:sz w:val="24"/>
          <w:i w:val="on"/>
        </w:rPr>
        <w:t xml:space="preserve">Таким образом, суды установили, что у заказчика отсутствуют какие-либо причины, лишающие его возможности провести отдельную закупочную процедуру на поставку необходимых товаров, обеспечив тем самым конкуренцию между участниками закупки, а также эффективное расходование бюджетных средств".</w:t>
      </w:r>
    </w:p>
    <w:p>
      <w:pPr>
        <w:pStyle w:val="0"/>
        <w:spacing w:before="240" w:lineRule="auto"/>
        <w:ind w:firstLine="540"/>
        <w:jc w:val="both"/>
      </w:pPr>
      <w:r>
        <w:rPr>
          <w:sz w:val="24"/>
        </w:rPr>
        <w:t xml:space="preserve">(</w:t>
      </w:r>
      <w:hyperlink w:history="0" r:id="rId26" w:tooltip="Постановление Арбитражного суда Московского округа от 26.05.2026 N Ф05-6228/2026 по делу N А40-188277/2025 Требование: О признании незаконным решения антимонопольного органа. Обстоятельства: Оспариваемым решением в действиях заказчика были установлены нарушения антимонопольного законодательства. Решение: В удовлетворении требования отказано, поскольку установлено, что заказчик неправомерно объединил в один объект закупки выполнение работ и поставку оборудования, не связанного с эксплуатацией объекта. {КонсультантПлюс}">
        <w:r>
          <w:rPr>
            <w:sz w:val="24"/>
            <w:color w:val="0000ff"/>
          </w:rPr>
          <w:t xml:space="preserve">Постановление</w:t>
        </w:r>
      </w:hyperlink>
      <w:r>
        <w:rPr>
          <w:sz w:val="24"/>
        </w:rPr>
        <w:t xml:space="preserve"> Арбитражного суда Московского округа от 26.05.2026 по делу N А40-188277/2025)</w:t>
      </w:r>
    </w:p>
    <w:p>
      <w:pPr>
        <w:pStyle w:val="0"/>
        <w:ind w:firstLine="540"/>
        <w:jc w:val="both"/>
      </w:pPr>
      <w:r>
        <w:rPr>
          <w:sz w:val="24"/>
        </w:rPr>
      </w:r>
    </w:p>
    <w:p>
      <w:pPr>
        <w:pStyle w:val="2"/>
        <w:outlineLvl w:val="0"/>
        <w:ind w:firstLine="540"/>
        <w:jc w:val="both"/>
      </w:pPr>
      <w:r>
        <w:rPr>
          <w:sz w:val="24"/>
        </w:rPr>
        <w:t xml:space="preserve">2. Объединение в рамках одной закупки неопределенного объема обязательств, влекущего значительное увеличение необходимого к представлению опыта участника закупки, а также размера обеспечений заявки и исполнения контракта, является фактором ограничения конкуренции среди участников закупки.</w:t>
      </w:r>
    </w:p>
    <w:p>
      <w:pPr>
        <w:pStyle w:val="0"/>
        <w:ind w:firstLine="540"/>
        <w:jc w:val="both"/>
      </w:pPr>
      <w:r>
        <w:rPr>
          <w:sz w:val="24"/>
        </w:rPr>
      </w:r>
    </w:p>
    <w:p>
      <w:pPr>
        <w:pStyle w:val="0"/>
        <w:ind w:firstLine="540"/>
        <w:jc w:val="both"/>
      </w:pPr>
      <w:r>
        <w:rPr>
          <w:sz w:val="24"/>
        </w:rPr>
        <w:t xml:space="preserve">ФАС России в результате осуществления внеплановой проверки действий ГКУ "Дирекция ТДФ" (далее - Заказчик), Комитета государственного заказа Тверской области (далее - Уполномоченный орган) при проведении открытого конкурса в электронной форме на право заключения государственного контракта на разработку проектной документации, выполнение инженерных изысканий и выполнение работ по объекту "Строительство участка автомобильной дороги в створе улицы Туполева в городе Твери (вылетная магистраль на г. Кимры)" (номер извещения в ЕИС - 0136500001125004873) (далее - Конкурс, Извещение), вынесено </w:t>
      </w:r>
      <w:hyperlink w:history="0" r:id="rId27" w:tooltip="Ссылка на КонсультантПлюс">
        <w:r>
          <w:rPr>
            <w:sz w:val="24"/>
            <w:color w:val="0000ff"/>
          </w:rPr>
          <w:t xml:space="preserve">решение</w:t>
        </w:r>
      </w:hyperlink>
      <w:r>
        <w:rPr>
          <w:sz w:val="24"/>
        </w:rPr>
        <w:t xml:space="preserve"> от 07.10.2025 по делу N П-144/25 (далее - Решение), которым в действиях Заказчика, Уполномоченного органа установлены нарушения </w:t>
      </w:r>
      <w:hyperlink w:history="0" r:id="rId2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пункта 1 части 2 статьи 42</w:t>
        </w:r>
      </w:hyperlink>
      <w:r>
        <w:rPr>
          <w:sz w:val="24"/>
        </w:rPr>
        <w:t xml:space="preserve"> Закона о контрактной системе.</w:t>
      </w:r>
    </w:p>
    <w:p>
      <w:pPr>
        <w:pStyle w:val="0"/>
        <w:spacing w:before="240" w:lineRule="auto"/>
        <w:ind w:firstLine="540"/>
        <w:jc w:val="both"/>
      </w:pPr>
      <w:hyperlink w:history="0" r:id="rId2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Пунктом 1 части 1 статьи 33</w:t>
        </w:r>
      </w:hyperlink>
      <w:r>
        <w:rPr>
          <w:sz w:val="24"/>
        </w:rPr>
        <w:t xml:space="preserve"> Закона о контрактной системе установлено, что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w:t>
      </w:r>
    </w:p>
    <w:p>
      <w:pPr>
        <w:pStyle w:val="0"/>
        <w:spacing w:before="240" w:lineRule="auto"/>
        <w:ind w:firstLine="540"/>
        <w:jc w:val="both"/>
      </w:pPr>
      <w:r>
        <w:rPr>
          <w:sz w:val="24"/>
        </w:rPr>
        <w:t xml:space="preserve">Комиссия ФАС России, изучив описание объекта закупки Извещения (далее - Описание объекта закупки), установила, что предполагаемые подрядные работы предусматривают:</w:t>
      </w:r>
    </w:p>
    <w:p>
      <w:pPr>
        <w:pStyle w:val="0"/>
        <w:spacing w:before="240" w:lineRule="auto"/>
        <w:ind w:firstLine="540"/>
        <w:jc w:val="both"/>
      </w:pPr>
      <w:r>
        <w:rPr>
          <w:sz w:val="24"/>
        </w:rPr>
        <w:t xml:space="preserve">1) строительство нового участка автомобильной дороги (улицы) от ул. Академика Туполева до Савватьевского шоссе в п. 1-е Мая г. Твери;</w:t>
      </w:r>
    </w:p>
    <w:p>
      <w:pPr>
        <w:pStyle w:val="0"/>
        <w:spacing w:before="240" w:lineRule="auto"/>
        <w:ind w:firstLine="540"/>
        <w:jc w:val="both"/>
      </w:pPr>
      <w:r>
        <w:rPr>
          <w:sz w:val="24"/>
        </w:rPr>
        <w:t xml:space="preserve">2) капитальный ремонт участка автомобильной дороги (улицы) Савватьевское шоссе от п. 1-е Мая до границы г. Твери;</w:t>
      </w:r>
    </w:p>
    <w:p>
      <w:pPr>
        <w:pStyle w:val="0"/>
        <w:spacing w:before="240" w:lineRule="auto"/>
        <w:ind w:firstLine="540"/>
        <w:jc w:val="both"/>
      </w:pPr>
      <w:r>
        <w:rPr>
          <w:sz w:val="24"/>
        </w:rPr>
        <w:t xml:space="preserve">3) капитальный ремонт участка автомобильной дороги общего пользования регионального значения "Тверь - Рождествено - 1-е Мая - Ильинское" км 10 + 800 - км 20 + 800;</w:t>
      </w:r>
    </w:p>
    <w:p>
      <w:pPr>
        <w:pStyle w:val="0"/>
        <w:spacing w:before="240" w:lineRule="auto"/>
        <w:ind w:firstLine="540"/>
        <w:jc w:val="both"/>
      </w:pPr>
      <w:r>
        <w:rPr>
          <w:sz w:val="24"/>
        </w:rPr>
        <w:t xml:space="preserve">4) реконструкцию моста через р. Орша на км 15 + 750 автомобильной дороги общего пользования регионального значения "Тверь - Рождествено - 1-е Мая - Ильинское".</w:t>
      </w:r>
    </w:p>
    <w:p>
      <w:pPr>
        <w:pStyle w:val="0"/>
        <w:spacing w:before="240" w:lineRule="auto"/>
        <w:ind w:firstLine="540"/>
        <w:jc w:val="both"/>
      </w:pPr>
      <w:r>
        <w:rPr>
          <w:sz w:val="24"/>
        </w:rPr>
        <w:t xml:space="preserve">Согласно пояснениям представителей Заказчика, Уполномоченного органа подрядчику предстоит на основании вариантного проектирования уточнить протяженность строительства с учетом требований градостроительного, природоохранного и экологического законодательства, технических норм и экономической целесообразности, разработать оптимальный вариант трассы.</w:t>
      </w:r>
    </w:p>
    <w:p>
      <w:pPr>
        <w:pStyle w:val="0"/>
        <w:spacing w:before="240" w:lineRule="auto"/>
        <w:ind w:firstLine="540"/>
        <w:jc w:val="both"/>
      </w:pPr>
      <w:r>
        <w:rPr>
          <w:sz w:val="24"/>
        </w:rPr>
        <w:t xml:space="preserve">Также представители Заказчика, Уполномоченного органа пояснили, что работы имеют функциональную и технологическую связь, направлены на достижение единой цели - создание новой вылетной магистрали, и их объединение в один лот соответствует положениям </w:t>
      </w:r>
      <w:hyperlink w:history="0" r:id="rId3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части 56 статьи 112</w:t>
        </w:r>
      </w:hyperlink>
      <w:r>
        <w:rPr>
          <w:sz w:val="24"/>
        </w:rPr>
        <w:t xml:space="preserve"> Закона о контрактной системе.</w:t>
      </w:r>
    </w:p>
    <w:p>
      <w:pPr>
        <w:pStyle w:val="0"/>
        <w:spacing w:before="240" w:lineRule="auto"/>
        <w:ind w:firstLine="540"/>
        <w:jc w:val="both"/>
      </w:pPr>
      <w:r>
        <w:rPr>
          <w:sz w:val="24"/>
        </w:rPr>
        <w:t xml:space="preserve">Вместе с тем начальная (максимальная) цена контракта составляет 7 985 829 819,90 руб., обеспечение заявки на участие в Конкурсе установлено в размере 79 858 298,20 руб., размер обеспечения исполнения контракта установлен в размере 798 582 981,99 руб.</w:t>
      </w:r>
    </w:p>
    <w:p>
      <w:pPr>
        <w:pStyle w:val="0"/>
        <w:spacing w:before="240" w:lineRule="auto"/>
        <w:ind w:firstLine="540"/>
        <w:jc w:val="both"/>
      </w:pPr>
      <w:hyperlink w:history="0" r:id="rId3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Частью 2 статьи 31</w:t>
        </w:r>
      </w:hyperlink>
      <w:r>
        <w:rPr>
          <w:sz w:val="24"/>
        </w:rPr>
        <w:t xml:space="preserve"> Закона о контрактной системе установлено, что Правительство Российской Федерации вправе устанавливать к участникам закупок отдельных видов товаров, работ, услуг дополнительные требования.</w:t>
      </w:r>
    </w:p>
    <w:p>
      <w:pPr>
        <w:pStyle w:val="0"/>
        <w:spacing w:before="240" w:lineRule="auto"/>
        <w:ind w:firstLine="540"/>
        <w:jc w:val="both"/>
      </w:pPr>
      <w:r>
        <w:rPr>
          <w:sz w:val="24"/>
        </w:rPr>
        <w:t xml:space="preserve">Указанные дополнительные </w:t>
      </w:r>
      <w:hyperlink w:history="0" r:id="rId32" w:tooltip="Постановление Правительства РФ от 29.12.2021 N 2571 (ред. от 27.04.2026) &quot;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quot; {КонсультантПлюс}">
        <w:r>
          <w:rPr>
            <w:sz w:val="24"/>
            <w:color w:val="0000ff"/>
          </w:rPr>
          <w:t xml:space="preserve">требования</w:t>
        </w:r>
      </w:hyperlink>
      <w:r>
        <w:rPr>
          <w:sz w:val="24"/>
        </w:rPr>
        <w:t xml:space="preserve">, а также </w:t>
      </w:r>
      <w:hyperlink w:history="0" r:id="rId33" w:tooltip="Постановление Правительства РФ от 29.12.2021 N 2571 (ред. от 27.04.2026) &quot;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quot; {КонсультантПлюс}">
        <w:r>
          <w:rPr>
            <w:sz w:val="24"/>
            <w:color w:val="0000ff"/>
          </w:rPr>
          <w:t xml:space="preserve">перечень</w:t>
        </w:r>
      </w:hyperlink>
      <w:r>
        <w:rPr>
          <w:sz w:val="24"/>
        </w:rPr>
        <w:t xml:space="preserve"> документов, подтверждающих соответствие участников закупки таким требованиям, установлены Постановлением Правительства Российской Федерации от 29.12.2021 N 2571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 (далее - Постановление N 2571).</w:t>
      </w:r>
    </w:p>
    <w:p>
      <w:pPr>
        <w:pStyle w:val="0"/>
        <w:spacing w:before="240" w:lineRule="auto"/>
        <w:ind w:firstLine="540"/>
        <w:jc w:val="both"/>
      </w:pPr>
      <w:r>
        <w:rPr>
          <w:sz w:val="24"/>
        </w:rPr>
        <w:t xml:space="preserve">В соответствии с Извещением к участникам закупки предъявляются дополнительные требования, предусмотренные </w:t>
      </w:r>
      <w:hyperlink w:history="0" r:id="rId34" w:tooltip="Постановление Правительства РФ от 29.12.2021 N 2571 (ред. от 27.04.2026) &quot;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quot; {КонсультантПлюс}">
        <w:r>
          <w:rPr>
            <w:sz w:val="24"/>
            <w:color w:val="0000ff"/>
          </w:rPr>
          <w:t xml:space="preserve">позицией 17</w:t>
        </w:r>
      </w:hyperlink>
      <w:r>
        <w:rPr>
          <w:sz w:val="24"/>
        </w:rPr>
        <w:t xml:space="preserve"> приложения к Постановлению N 2571, а именно: цена выполненных работ по договорам, предусмотренным </w:t>
      </w:r>
      <w:hyperlink w:history="0" r:id="rId35" w:tooltip="Постановление Правительства РФ от 29.12.2021 N 2571 (ред. от 27.04.2026) &quot;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quot; {КонсультантПлюс}">
        <w:r>
          <w:rPr>
            <w:sz w:val="24"/>
            <w:color w:val="0000ff"/>
          </w:rPr>
          <w:t xml:space="preserve">пунктами 1</w:t>
        </w:r>
      </w:hyperlink>
      <w:r>
        <w:rPr>
          <w:sz w:val="24"/>
        </w:rPr>
        <w:t xml:space="preserve">, </w:t>
      </w:r>
      <w:hyperlink w:history="0" r:id="rId36" w:tooltip="Постановление Правительства РФ от 29.12.2021 N 2571 (ред. от 27.04.2026) &quot;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quot; {КонсультантПлюс}">
        <w:r>
          <w:rPr>
            <w:sz w:val="24"/>
            <w:color w:val="0000ff"/>
          </w:rPr>
          <w:t xml:space="preserve">2</w:t>
        </w:r>
      </w:hyperlink>
      <w:r>
        <w:rPr>
          <w:sz w:val="24"/>
        </w:rPr>
        <w:t xml:space="preserve"> или </w:t>
      </w:r>
      <w:hyperlink w:history="0" r:id="rId37" w:tooltip="Постановление Правительства РФ от 29.12.2021 N 2571 (ред. от 27.04.2026) &quot;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quot; {КонсультантПлюс}">
        <w:r>
          <w:rPr>
            <w:sz w:val="24"/>
            <w:color w:val="0000ff"/>
          </w:rPr>
          <w:t xml:space="preserve">3 позиции 17</w:t>
        </w:r>
      </w:hyperlink>
      <w:r>
        <w:rPr>
          <w:sz w:val="24"/>
        </w:rPr>
        <w:t xml:space="preserve"> приложения к Постановлению N 2571, цена выполненных работ должна составлять не менее 30 процентов начальной (максимальной) цены контракта, заключаемого по результатам определения поставщика (подрядчика, исполнителя), если начальная (максимальная) цена контракта составляет или превышает 500 млн рублей.</w:t>
      </w:r>
    </w:p>
    <w:p>
      <w:pPr>
        <w:pStyle w:val="0"/>
        <w:spacing w:before="240" w:lineRule="auto"/>
        <w:ind w:firstLine="540"/>
        <w:jc w:val="both"/>
      </w:pPr>
      <w:r>
        <w:rPr>
          <w:sz w:val="24"/>
        </w:rPr>
        <w:t xml:space="preserve">Таким образом, потенциальный участник должен иметь контракт (договор) для подтверждения дополнительного опыта в соответствии с </w:t>
      </w:r>
      <w:hyperlink w:history="0" r:id="rId38" w:tooltip="Постановление Правительства РФ от 29.12.2021 N 2571 (ред. от 27.04.2026) &quot;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quot; {КонсультантПлюс}">
        <w:r>
          <w:rPr>
            <w:sz w:val="24"/>
            <w:color w:val="0000ff"/>
          </w:rPr>
          <w:t xml:space="preserve">позицией 17</w:t>
        </w:r>
      </w:hyperlink>
      <w:r>
        <w:rPr>
          <w:sz w:val="24"/>
        </w:rPr>
        <w:t xml:space="preserve"> приложения к Постановлению N 2571 с ценой выполненных работ, составляющей не менее 2 395 748 965,95 руб.</w:t>
      </w:r>
    </w:p>
    <w:p>
      <w:pPr>
        <w:pStyle w:val="0"/>
        <w:spacing w:before="240" w:lineRule="auto"/>
        <w:ind w:firstLine="540"/>
        <w:jc w:val="both"/>
      </w:pPr>
      <w:r>
        <w:rPr>
          <w:sz w:val="24"/>
        </w:rPr>
        <w:t xml:space="preserve">Описание объекта закупки приводит к увеличению объема выполняемых работ, начальной (максимальной) цены контракта, суммы обеспечения заявки, суммы обеспечения исполнения государственного контракта, а также цены выполненных работ по договору, представляемому участником Конкурса в соответствии с </w:t>
      </w:r>
      <w:hyperlink w:history="0" r:id="rId39" w:tooltip="Постановление Правительства РФ от 29.12.2021 N 2571 (ред. от 27.04.2026) &quot;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quot; {КонсультантПлюс}">
        <w:r>
          <w:rPr>
            <w:sz w:val="24"/>
            <w:color w:val="0000ff"/>
          </w:rPr>
          <w:t xml:space="preserve">позицией 17</w:t>
        </w:r>
      </w:hyperlink>
      <w:r>
        <w:rPr>
          <w:sz w:val="24"/>
        </w:rPr>
        <w:t xml:space="preserve"> приложения к Постановлению N 2571.</w:t>
      </w:r>
    </w:p>
    <w:p>
      <w:pPr>
        <w:pStyle w:val="0"/>
        <w:spacing w:before="240" w:lineRule="auto"/>
        <w:ind w:firstLine="540"/>
        <w:jc w:val="both"/>
      </w:pPr>
      <w:r>
        <w:rPr>
          <w:sz w:val="24"/>
        </w:rPr>
        <w:t xml:space="preserve">Размещение закупки необоснованно укрупненным лотом нарушает принцип равнодоступности при проведении торгов, исключает возможность участия в торгах отдельных участников рынка, ограничивает возможность соперничества в закупке и выполнения работ по предмету контракта, что может привести к ограничению конкуренции при проведении торгов.</w:t>
      </w:r>
    </w:p>
    <w:p>
      <w:pPr>
        <w:pStyle w:val="0"/>
        <w:spacing w:before="240" w:lineRule="auto"/>
        <w:ind w:firstLine="540"/>
        <w:jc w:val="both"/>
      </w:pPr>
      <w:r>
        <w:rPr>
          <w:sz w:val="24"/>
        </w:rPr>
        <w:t xml:space="preserve">Указанные действия Заказчика, Уполномоченного органа нивелируют цели законодательства о контрактной системе - открытости и прозрачности, экономии бюджетных средств и внебюджетных источников финансирования, равноправия участников размещения заказа и обеспечения их справедливой конкуренции.</w:t>
      </w:r>
    </w:p>
    <w:p>
      <w:pPr>
        <w:pStyle w:val="0"/>
        <w:spacing w:before="240" w:lineRule="auto"/>
        <w:ind w:firstLine="540"/>
        <w:jc w:val="both"/>
      </w:pPr>
      <w:r>
        <w:rPr>
          <w:sz w:val="24"/>
        </w:rPr>
        <w:t xml:space="preserve">Заказчик, не согласившись с </w:t>
      </w:r>
      <w:hyperlink w:history="0" r:id="rId40" w:tooltip="Ссылка на КонсультантПлюс">
        <w:r>
          <w:rPr>
            <w:sz w:val="24"/>
            <w:color w:val="0000ff"/>
          </w:rPr>
          <w:t xml:space="preserve">Решением</w:t>
        </w:r>
      </w:hyperlink>
      <w:r>
        <w:rPr>
          <w:sz w:val="24"/>
        </w:rPr>
        <w:t xml:space="preserve">, обжаловал его в судебном порядке. Вместе с тем решением Арбитражного суда города Москвы от 15.06.2026 по делу N А40-361016/2025 Заказчику отказано в удовлетворении заявленных требований.</w:t>
      </w:r>
    </w:p>
    <w:p>
      <w:pPr>
        <w:pStyle w:val="0"/>
        <w:spacing w:before="240" w:lineRule="auto"/>
        <w:ind w:firstLine="540"/>
        <w:jc w:val="both"/>
      </w:pPr>
      <w:r>
        <w:rPr>
          <w:sz w:val="24"/>
        </w:rPr>
        <w:t xml:space="preserve">Арбитражный суд города Москвы также отметил важность обеспечения конкурентного характера закупочной процедуры:</w:t>
      </w:r>
    </w:p>
    <w:p>
      <w:pPr>
        <w:pStyle w:val="0"/>
        <w:spacing w:before="240" w:lineRule="auto"/>
        <w:ind w:firstLine="540"/>
        <w:jc w:val="both"/>
      </w:pPr>
      <w:r>
        <w:rPr>
          <w:sz w:val="24"/>
          <w:i w:val="on"/>
        </w:rPr>
        <w:t xml:space="preserve">"В силу </w:t>
      </w:r>
      <w:hyperlink w:history="0" r:id="rId4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i w:val="on"/>
          </w:rPr>
          <w:t xml:space="preserve">части 1 статьи 2</w:t>
        </w:r>
      </w:hyperlink>
      <w:r>
        <w:rPr>
          <w:sz w:val="24"/>
          <w:i w:val="on"/>
        </w:rPr>
        <w:t xml:space="preserve"> Закона о контрактной системе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основывается, в том числе на положениях Бюджетного </w:t>
      </w:r>
      <w:hyperlink w:history="0" r:id="rId42" w:tooltip="&quot;Бюджетный кодекс Российской Федерации&quot; от 31.07.1998 N 145-ФЗ (ред. от 28.12.2025, с изм. от 31.03.2026) ------------ Недействующая редакция {КонсультантПлюс}">
        <w:r>
          <w:rPr>
            <w:sz w:val="24"/>
            <w:color w:val="0000ff"/>
            <w:i w:val="on"/>
          </w:rPr>
          <w:t xml:space="preserve">кодекса</w:t>
        </w:r>
      </w:hyperlink>
      <w:r>
        <w:rPr>
          <w:sz w:val="24"/>
          <w:i w:val="on"/>
        </w:rPr>
        <w:t xml:space="preserve"> Российской Федерации (далее - БК РФ).</w:t>
      </w:r>
    </w:p>
    <w:p>
      <w:pPr>
        <w:pStyle w:val="0"/>
        <w:spacing w:before="240" w:lineRule="auto"/>
        <w:ind w:firstLine="540"/>
        <w:jc w:val="both"/>
      </w:pPr>
      <w:r>
        <w:rPr>
          <w:sz w:val="24"/>
          <w:i w:val="on"/>
        </w:rPr>
        <w:t xml:space="preserve">Согласно </w:t>
      </w:r>
      <w:hyperlink w:history="0" r:id="rId43" w:tooltip="&quot;Бюджетный кодекс Российской Федерации&quot; от 31.07.1998 N 145-ФЗ (ред. от 28.12.2025, с изм. от 31.03.2026) ------------ Недействующая редакция {КонсультантПлюс}">
        <w:r>
          <w:rPr>
            <w:sz w:val="24"/>
            <w:color w:val="0000ff"/>
            <w:i w:val="on"/>
          </w:rPr>
          <w:t xml:space="preserve">статье 34</w:t>
        </w:r>
      </w:hyperlink>
      <w:r>
        <w:rPr>
          <w:sz w:val="24"/>
          <w:i w:val="on"/>
        </w:rPr>
        <w:t xml:space="preserve"> БК РФ принцип эффективности использования бюджетных средств означает,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w:t>
      </w:r>
    </w:p>
    <w:p>
      <w:pPr>
        <w:pStyle w:val="0"/>
        <w:spacing w:before="240" w:lineRule="auto"/>
        <w:ind w:firstLine="540"/>
        <w:jc w:val="both"/>
      </w:pPr>
      <w:r>
        <w:rPr>
          <w:sz w:val="24"/>
          <w:i w:val="on"/>
        </w:rPr>
        <w:t xml:space="preserve">В соответствии со </w:t>
      </w:r>
      <w:hyperlink w:history="0" r:id="rId44" w:tooltip="&quot;Бюджетный кодекс Российской Федерации&quot; от 31.07.1998 N 145-ФЗ (ред. от 28.12.2025, с изм. от 31.03.2026) ------------ Недействующая редакция {КонсультантПлюс}">
        <w:r>
          <w:rPr>
            <w:sz w:val="24"/>
            <w:color w:val="0000ff"/>
            <w:i w:val="on"/>
          </w:rPr>
          <w:t xml:space="preserve">статьей 69</w:t>
        </w:r>
      </w:hyperlink>
      <w:r>
        <w:rPr>
          <w:sz w:val="24"/>
          <w:i w:val="on"/>
        </w:rPr>
        <w:t xml:space="preserve"> и </w:t>
      </w:r>
      <w:hyperlink w:history="0" r:id="rId45" w:tooltip="&quot;Бюджетный кодекс Российской Федерации&quot; от 31.07.1998 N 145-ФЗ (ред. от 28.12.2025, с изм. от 31.03.2026) ------------ Недействующая редакция {КонсультантПлюс}">
        <w:r>
          <w:rPr>
            <w:sz w:val="24"/>
            <w:color w:val="0000ff"/>
            <w:i w:val="on"/>
          </w:rPr>
          <w:t xml:space="preserve">72</w:t>
        </w:r>
      </w:hyperlink>
      <w:r>
        <w:rPr>
          <w:sz w:val="24"/>
          <w:i w:val="on"/>
        </w:rPr>
        <w:t xml:space="preserve"> БК РФ закупки товаров, работ, услуг для обеспечения государственных (муниципальных) нужд производятся за счет бюджетных ассигнований (расходы бюджетов), осуществление которых согласно </w:t>
      </w:r>
      <w:hyperlink w:history="0" r:id="rId46" w:tooltip="&quot;Бюджетный кодекс Российской Федерации&quot; от 31.07.1998 N 145-ФЗ (ред. от 28.12.2025, с изм. от 31.03.2026) ------------ Недействующая редакция {КонсультантПлюс}">
        <w:r>
          <w:rPr>
            <w:sz w:val="24"/>
            <w:color w:val="0000ff"/>
            <w:i w:val="on"/>
          </w:rPr>
          <w:t xml:space="preserve">статье 34</w:t>
        </w:r>
      </w:hyperlink>
      <w:r>
        <w:rPr>
          <w:sz w:val="24"/>
          <w:i w:val="on"/>
        </w:rPr>
        <w:t xml:space="preserve"> БК РФ должно отвечать принципу эффективности.</w:t>
      </w:r>
    </w:p>
    <w:p>
      <w:pPr>
        <w:pStyle w:val="0"/>
        <w:spacing w:before="240" w:lineRule="auto"/>
        <w:ind w:firstLine="540"/>
        <w:jc w:val="both"/>
      </w:pPr>
      <w:hyperlink w:history="0" r:id="rId4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i w:val="on"/>
          </w:rPr>
          <w:t xml:space="preserve">Статьей 6</w:t>
        </w:r>
      </w:hyperlink>
      <w:r>
        <w:rPr>
          <w:sz w:val="24"/>
          <w:i w:val="on"/>
        </w:rPr>
        <w:t xml:space="preserve"> Закона о контрактной системе установлено, что контрактная система в сфере закупок основывается на принципах открытости, прозрачности информации о контрактной системе в сфере закупок, обеспечения конкуренции, профессионализма заказчиков, стимулирования инноваций, единства контрактной системы в сфере закупок, ответственности за результативность обеспечения государственных и муниципальных нужд, эффективности осуществления закупок.</w:t>
      </w:r>
    </w:p>
    <w:p>
      <w:pPr>
        <w:pStyle w:val="0"/>
        <w:spacing w:before="240" w:lineRule="auto"/>
        <w:ind w:firstLine="540"/>
        <w:jc w:val="both"/>
      </w:pPr>
      <w:hyperlink w:history="0" r:id="rId4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i w:val="on"/>
          </w:rPr>
          <w:t xml:space="preserve">Статьей 8</w:t>
        </w:r>
      </w:hyperlink>
      <w:r>
        <w:rPr>
          <w:sz w:val="24"/>
          <w:i w:val="on"/>
        </w:rPr>
        <w:t xml:space="preserve"> Закона о контрактной системе установлено, что контрактная система в сфере закупок направлена на создание равных условий для обеспечения конкуренции между участниками закупок.</w:t>
      </w:r>
    </w:p>
    <w:p>
      <w:pPr>
        <w:pStyle w:val="0"/>
        <w:spacing w:before="240" w:lineRule="auto"/>
        <w:ind w:firstLine="540"/>
        <w:jc w:val="both"/>
      </w:pPr>
      <w:r>
        <w:rPr>
          <w:sz w:val="24"/>
          <w:i w:val="on"/>
        </w:rPr>
        <w:t xml:space="preserve">Рассматриваемое же формирование Заказчиком, Уполномоченным органом лота на выполнение Работ не соответствует принципам обеспечения конкуренции и эффективности осуществления закупки, ведет к отказу от участия в Конкурсе заинтересованных лиц, имеющих возможность выполнения Работ, и, как следствие, приводит к необоснованному ограничению количества участников закупки, о чем свидетельствует количество поданных заявок на участие в Конкурсе, а именно 1 заявка.</w:t>
      </w:r>
    </w:p>
    <w:p>
      <w:pPr>
        <w:pStyle w:val="0"/>
        <w:spacing w:before="240" w:lineRule="auto"/>
        <w:ind w:firstLine="540"/>
        <w:jc w:val="both"/>
      </w:pPr>
      <w:r>
        <w:rPr>
          <w:sz w:val="24"/>
          <w:i w:val="on"/>
        </w:rPr>
        <w:t xml:space="preserve">Анализ информации, размещенной в открытом доступе на сайте ЕИС, подтверждает возможность обеспечения конкуренции при проведении закупки с меньшими ценовыми показателями.</w:t>
      </w:r>
    </w:p>
    <w:p>
      <w:pPr>
        <w:pStyle w:val="0"/>
        <w:spacing w:before="240" w:lineRule="auto"/>
        <w:ind w:firstLine="540"/>
        <w:jc w:val="both"/>
      </w:pPr>
      <w:r>
        <w:rPr>
          <w:sz w:val="24"/>
          <w:i w:val="on"/>
        </w:rPr>
        <w:t xml:space="preserve">...Таким образом, изложенное свидетельствует, что осуществление государственными (муниципальными) заказчиками закупок с НМЦК, сниженной относительно уровня, установленного в документации Конкурса, способствует увеличению числа участников закупки и, как следствие, заключению контракта на более выгодных условиях, что соответствует принципам обеспечения конкуренции и экономии бюджетных средств, закрепленным в </w:t>
      </w:r>
      <w:hyperlink w:history="0" r:id="rId4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i w:val="on"/>
          </w:rPr>
          <w:t xml:space="preserve">статье 8</w:t>
        </w:r>
      </w:hyperlink>
      <w:r>
        <w:rPr>
          <w:sz w:val="24"/>
          <w:i w:val="on"/>
        </w:rPr>
        <w:t xml:space="preserve"> Закона о контрактной системе".</w:t>
      </w:r>
    </w:p>
    <w:p>
      <w:pPr>
        <w:pStyle w:val="0"/>
        <w:spacing w:before="240" w:lineRule="auto"/>
        <w:ind w:firstLine="540"/>
        <w:jc w:val="both"/>
      </w:pPr>
      <w:r>
        <w:rPr>
          <w:sz w:val="24"/>
        </w:rPr>
        <w:t xml:space="preserve">(Решение Арбитражного суда города Москвы от 15.06.2026 по делу N А40-361016/25-92-3083)</w:t>
      </w:r>
    </w:p>
    <w:p>
      <w:pPr>
        <w:pStyle w:val="0"/>
        <w:ind w:firstLine="540"/>
        <w:jc w:val="both"/>
      </w:pPr>
      <w:r>
        <w:rPr>
          <w:sz w:val="24"/>
        </w:rPr>
      </w:r>
    </w:p>
    <w:p>
      <w:pPr>
        <w:pStyle w:val="2"/>
        <w:outlineLvl w:val="0"/>
        <w:ind w:firstLine="540"/>
        <w:jc w:val="both"/>
      </w:pPr>
      <w:r>
        <w:rPr>
          <w:sz w:val="24"/>
        </w:rPr>
        <w:t xml:space="preserve">3. Включение в проект контракта требования о согласовании макетов является неправомерным.</w:t>
      </w:r>
    </w:p>
    <w:p>
      <w:pPr>
        <w:pStyle w:val="0"/>
        <w:ind w:firstLine="540"/>
        <w:jc w:val="both"/>
      </w:pPr>
      <w:r>
        <w:rPr>
          <w:sz w:val="24"/>
        </w:rPr>
      </w:r>
    </w:p>
    <w:p>
      <w:pPr>
        <w:pStyle w:val="0"/>
        <w:ind w:firstLine="540"/>
        <w:jc w:val="both"/>
      </w:pPr>
      <w:r>
        <w:rPr>
          <w:sz w:val="24"/>
        </w:rPr>
        <w:t xml:space="preserve">ФАС России в ходе проведения внеплановых проверок при рассмотрении жалоб ООО "Газ Ресурс", ООО "Дорстрой" (далее - Общества) на действия КУ ОО "Орелгосзаказчик" (далее - Заказчик), Департамента экономического развития и инвестиционной деятельности Орловской области (далее - Уполномоченный орган) при проведении Заказчиком, Уполномоченным органом, АО "Сбербанк-АСТ" открытого конкурса в электронной форме на право заключения контракта на выполнение работ по ремонту автомобильных дорог общего пользования регионального и межмуниципального значения в Должанском, Колпнянском, Ливенском, Новодеревеньковском, Сосковском, Кромском районах и Орловском муниципальном округе Орловской области (номер извещения в ЕИС - 0154200000725000148) (далее - Конкурс, Извещение) и в результате осуществления внеплановой проверки в соответствии с </w:t>
      </w:r>
      <w:hyperlink w:history="0" r:id="rId5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пунктом 1 части 15 статьи 99</w:t>
        </w:r>
      </w:hyperlink>
      <w:r>
        <w:rPr>
          <w:sz w:val="24"/>
        </w:rPr>
        <w:t xml:space="preserve"> Закона о контрактной системе вынесены решения от 11.03.2025 по делам </w:t>
      </w:r>
      <w:hyperlink w:history="0" r:id="rId51" w:tooltip="Ссылка на КонсультантПлюс">
        <w:r>
          <w:rPr>
            <w:sz w:val="24"/>
            <w:color w:val="0000ff"/>
          </w:rPr>
          <w:t xml:space="preserve">N 28/06/105-1968/2025</w:t>
        </w:r>
      </w:hyperlink>
      <w:r>
        <w:rPr>
          <w:sz w:val="24"/>
        </w:rPr>
        <w:t xml:space="preserve">, </w:t>
      </w:r>
      <w:hyperlink w:history="0" r:id="rId52" w:tooltip="Ссылка на КонсультантПлюс">
        <w:r>
          <w:rPr>
            <w:sz w:val="24"/>
            <w:color w:val="0000ff"/>
          </w:rPr>
          <w:t xml:space="preserve">28/06/105-1969/2025</w:t>
        </w:r>
      </w:hyperlink>
      <w:r>
        <w:rPr>
          <w:sz w:val="24"/>
        </w:rPr>
        <w:t xml:space="preserve"> (далее - Решения), которыми в действиях Заказчика, Уполномоченного органа установлены нарушения </w:t>
      </w:r>
      <w:hyperlink w:history="0" r:id="rId5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пункта 1 части 2 статьи 42</w:t>
        </w:r>
      </w:hyperlink>
      <w:r>
        <w:rPr>
          <w:sz w:val="24"/>
        </w:rPr>
        <w:t xml:space="preserve"> Закона о контрактной системе, а также выдано </w:t>
      </w:r>
      <w:hyperlink w:history="0" r:id="rId54" w:tooltip="Ссылка на КонсультантПлюс">
        <w:r>
          <w:rPr>
            <w:sz w:val="24"/>
            <w:color w:val="0000ff"/>
          </w:rPr>
          <w:t xml:space="preserve">предписание</w:t>
        </w:r>
      </w:hyperlink>
      <w:r>
        <w:rPr>
          <w:sz w:val="24"/>
        </w:rPr>
        <w:t xml:space="preserve">, направленное на восстановление нарушенных прав (далее - Предписание).</w:t>
      </w:r>
    </w:p>
    <w:p>
      <w:pPr>
        <w:pStyle w:val="0"/>
        <w:spacing w:before="240" w:lineRule="auto"/>
        <w:ind w:firstLine="540"/>
        <w:jc w:val="both"/>
      </w:pPr>
      <w:r>
        <w:rPr>
          <w:sz w:val="24"/>
        </w:rPr>
        <w:t xml:space="preserve">Согласно </w:t>
      </w:r>
      <w:hyperlink w:history="0" r:id="rId5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части 1 статьи 34</w:t>
        </w:r>
      </w:hyperlink>
      <w:r>
        <w:rPr>
          <w:sz w:val="24"/>
        </w:rPr>
        <w:t xml:space="preserve"> Закона о контрактной системе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w:t>
      </w:r>
      <w:hyperlink w:history="0" r:id="rId5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Законом</w:t>
        </w:r>
      </w:hyperlink>
      <w:r>
        <w:rPr>
          <w:sz w:val="24"/>
        </w:rPr>
        <w:t xml:space="preserve"> о контрактной системе извещение об осуществлении закупки или приглашение, документация о закупке, заявка не предусмотрены.</w:t>
      </w:r>
    </w:p>
    <w:p>
      <w:pPr>
        <w:pStyle w:val="0"/>
        <w:spacing w:before="240" w:lineRule="auto"/>
        <w:ind w:firstLine="540"/>
        <w:jc w:val="both"/>
      </w:pPr>
      <w:hyperlink w:history="0" r:id="rId5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Пунктом 5 части 2 статьи 42</w:t>
        </w:r>
      </w:hyperlink>
      <w:r>
        <w:rPr>
          <w:sz w:val="24"/>
        </w:rPr>
        <w:t xml:space="preserve"> Закона о контрактной системе установлено, что извещение об осуществлении закупки, если иное не предусмотрено </w:t>
      </w:r>
      <w:hyperlink w:history="0" r:id="rId5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Законом</w:t>
        </w:r>
      </w:hyperlink>
      <w:r>
        <w:rPr>
          <w:sz w:val="24"/>
        </w:rPr>
        <w:t xml:space="preserve"> о контрактной системе, должно содержать проект контракта.</w:t>
      </w:r>
    </w:p>
    <w:p>
      <w:pPr>
        <w:pStyle w:val="0"/>
        <w:spacing w:before="240" w:lineRule="auto"/>
        <w:ind w:firstLine="540"/>
        <w:jc w:val="both"/>
      </w:pPr>
      <w:r>
        <w:rPr>
          <w:sz w:val="24"/>
        </w:rPr>
        <w:t xml:space="preserve">Пунктом 3.1.24 проекта контракта Извещения (далее - Контракт) установлено в том числе, что макеты информационных щитов должны быть согласованы с Заказчиком.</w:t>
      </w:r>
    </w:p>
    <w:p>
      <w:pPr>
        <w:pStyle w:val="0"/>
        <w:spacing w:before="240" w:lineRule="auto"/>
        <w:ind w:firstLine="540"/>
        <w:jc w:val="both"/>
      </w:pPr>
      <w:r>
        <w:rPr>
          <w:sz w:val="24"/>
        </w:rPr>
        <w:t xml:space="preserve">При этом ФАС России установлено, что требование о необходимости согласования с Заказчиком макетов информационных щитов не предусмотрено положениями </w:t>
      </w:r>
      <w:hyperlink w:history="0" r:id="rId5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Закона</w:t>
        </w:r>
      </w:hyperlink>
      <w:r>
        <w:rPr>
          <w:sz w:val="24"/>
        </w:rPr>
        <w:t xml:space="preserve"> о контрактной системе.</w:t>
      </w:r>
    </w:p>
    <w:p>
      <w:pPr>
        <w:pStyle w:val="0"/>
        <w:spacing w:before="240" w:lineRule="auto"/>
        <w:ind w:firstLine="540"/>
        <w:jc w:val="both"/>
      </w:pPr>
      <w:r>
        <w:rPr>
          <w:sz w:val="24"/>
        </w:rPr>
        <w:t xml:space="preserve">Кроме того, установление указанного требования ставит подрядчика в зависимость от волеизъявления Заказчика и может привести к невозможности исполнения поставщиком Контракта, что нарушает требования </w:t>
      </w:r>
      <w:hyperlink w:history="0" r:id="rId6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Закона</w:t>
        </w:r>
      </w:hyperlink>
      <w:r>
        <w:rPr>
          <w:sz w:val="24"/>
        </w:rPr>
        <w:t xml:space="preserve"> о контрактной системе.</w:t>
      </w:r>
    </w:p>
    <w:p>
      <w:pPr>
        <w:pStyle w:val="0"/>
        <w:spacing w:before="240" w:lineRule="auto"/>
        <w:ind w:firstLine="540"/>
        <w:jc w:val="both"/>
      </w:pPr>
      <w:r>
        <w:rPr>
          <w:sz w:val="24"/>
        </w:rPr>
        <w:t xml:space="preserve">Заказчик, не согласившись с </w:t>
      </w:r>
      <w:r>
        <w:rPr>
          <w:sz w:val="24"/>
        </w:rPr>
        <w:t xml:space="preserve">Решениями</w:t>
      </w:r>
      <w:r>
        <w:rPr>
          <w:sz w:val="24"/>
        </w:rPr>
        <w:t xml:space="preserve"> и </w:t>
      </w:r>
      <w:hyperlink w:history="0" r:id="rId61" w:tooltip="Ссылка на КонсультантПлюс">
        <w:r>
          <w:rPr>
            <w:sz w:val="24"/>
            <w:color w:val="0000ff"/>
          </w:rPr>
          <w:t xml:space="preserve">Предписанием</w:t>
        </w:r>
      </w:hyperlink>
      <w:r>
        <w:rPr>
          <w:sz w:val="24"/>
        </w:rPr>
        <w:t xml:space="preserve">, обжаловал их в судебном порядке. Вместе с тем решением Арбитражного суда Орловской области от 25.09.2025, оставленным без изменения </w:t>
      </w:r>
      <w:hyperlink w:history="0" r:id="rId62" w:tooltip="Постановление Девятнадцатого арбитражного апелляционного суда от 19.01.2026 N 19АП-4921/2025 по делу N А48-4964/2025 Требование: О признании недействительными решений антимонопольного органа в части выводов о нарушении требований федерального законодательства о контрактной системе в сфере закупок товаров, работ, услуг для обеспечения государственных и муниципальных нужд, предписания об устранении нарушений. Решение: Требование удовлетворено. {КонсультантПлюс}">
        <w:r>
          <w:rPr>
            <w:sz w:val="24"/>
            <w:color w:val="0000ff"/>
          </w:rPr>
          <w:t xml:space="preserve">Постановлением</w:t>
        </w:r>
      </w:hyperlink>
      <w:r>
        <w:rPr>
          <w:sz w:val="24"/>
        </w:rPr>
        <w:t xml:space="preserve"> Девятнадцатого арбитражного апелляционного суда от 19.01.2026, </w:t>
      </w:r>
      <w:hyperlink w:history="0" r:id="rId63" w:tooltip="Постановление Арбитражного суда Центрального округа от 27.05.2026 N Ф10-889/2026 по делу N А48-4964/2025 Требование: Об отмене решений и предписания антимонопольного органа. Обстоятельства: Антимонопольным органом вынесены решения, в соответствии с которыми в действиях заказчика и уполномоченного органа признано нарушение п. 1 ч. 2 ст. 42 Закона о контрактной системе ввиду того, что в проекте контракта установлено условие, которое не предусмотрено Законом о контрактной системе и ставит подрядчика в зависимо {КонсультантПлюс}">
        <w:r>
          <w:rPr>
            <w:sz w:val="24"/>
            <w:color w:val="0000ff"/>
          </w:rPr>
          <w:t xml:space="preserve">Постановлением</w:t>
        </w:r>
      </w:hyperlink>
      <w:r>
        <w:rPr>
          <w:sz w:val="24"/>
        </w:rPr>
        <w:t xml:space="preserve"> Арбитражного суда Центрального округа от 27.05.2026 по делу N А48-4964/2025, Заказчику отказано в удовлетворении заявленных требований.</w:t>
      </w:r>
    </w:p>
    <w:p>
      <w:pPr>
        <w:pStyle w:val="0"/>
        <w:spacing w:before="240" w:lineRule="auto"/>
        <w:ind w:firstLine="540"/>
        <w:jc w:val="both"/>
      </w:pPr>
      <w:r>
        <w:rPr>
          <w:sz w:val="24"/>
        </w:rPr>
        <w:t xml:space="preserve">Суд кассационной инстанции, подтверждая правомерность выводов ФАС России, указал следующее:</w:t>
      </w:r>
    </w:p>
    <w:p>
      <w:pPr>
        <w:pStyle w:val="0"/>
        <w:spacing w:before="240" w:lineRule="auto"/>
        <w:ind w:firstLine="540"/>
        <w:jc w:val="both"/>
      </w:pPr>
      <w:r>
        <w:rPr>
          <w:sz w:val="24"/>
          <w:i w:val="on"/>
        </w:rPr>
        <w:t xml:space="preserve">"Как верно указано судами, описание объекта закупки и проект контракта являются неотъемлемой частью извещения о проведении закупки, положения проекта контракта не могут расширять и дополнять те функциональные, технические и качественные характеристики, эксплуатационные характеристики объекта закупки, которые указываются заказчиком в описании.</w:t>
      </w:r>
    </w:p>
    <w:p>
      <w:pPr>
        <w:pStyle w:val="0"/>
        <w:spacing w:before="240" w:lineRule="auto"/>
        <w:ind w:firstLine="540"/>
        <w:jc w:val="both"/>
      </w:pPr>
      <w:r>
        <w:rPr>
          <w:sz w:val="24"/>
          <w:i w:val="on"/>
        </w:rPr>
        <w:t xml:space="preserve">Судами установлено, что в соответствии с пунктом 3.1.24 проекта контракта в течение 10 дней с даты его заключения подрядчик обязан изготовить и установить с двух сторон участка производства работ 2 информационных щита размером 2,5 м x 2,0 м с информированием участников дорожного движения о производстве дорожных работ; 2 информационных щита размером 3,0 м x 1,7 м, на которых должна быть указана следующая информация: вид работ, наименование Заказчика, наименование Подрядчика, фамилии руководителей Подрядчика и их контактные телефоны, сроки проведения работ (начало и окончание). Макеты информационных щитов должны быть согласованы с заказчиком.</w:t>
      </w:r>
    </w:p>
    <w:p>
      <w:pPr>
        <w:pStyle w:val="0"/>
        <w:spacing w:before="240" w:lineRule="auto"/>
        <w:ind w:firstLine="540"/>
        <w:jc w:val="both"/>
      </w:pPr>
      <w:r>
        <w:rPr>
          <w:sz w:val="24"/>
          <w:i w:val="on"/>
        </w:rPr>
        <w:t xml:space="preserve">Соответственно, информационные щиты являются частью объекта закупки.</w:t>
      </w:r>
    </w:p>
    <w:p>
      <w:pPr>
        <w:pStyle w:val="0"/>
        <w:spacing w:before="240" w:lineRule="auto"/>
        <w:ind w:firstLine="540"/>
        <w:jc w:val="both"/>
      </w:pPr>
      <w:r>
        <w:rPr>
          <w:sz w:val="24"/>
          <w:i w:val="on"/>
        </w:rPr>
        <w:t xml:space="preserve">На основании изложенного суды обеих инстанций пришли к верному выводу о том, что ввиду неполного описания объекта закупки, а именно отсутствия в описании объекта закупки требований к необходимости установления при выполнении работ информационных щитов в соответствии с макетами, удовлетворяющими интересы заказчика, с учетом наличия в проекте контракта информации, необходимой для размещения на информационных щитах, заявителем в полной мере не обоснована необходимость согласования макетов щитов, заказчиком в проекте контракта не определены порядок, сроки согласования подрядчиком соответствующих макетов, в этой связи вышеуказанное требование ставит подрядчика в зависимость от волеизъявления заказчика и может привести к невозможности исполнения подрядчиком контракта ввиду возможного несогласования макетов информационных щитов.</w:t>
      </w:r>
    </w:p>
    <w:p>
      <w:pPr>
        <w:pStyle w:val="0"/>
        <w:spacing w:before="240" w:lineRule="auto"/>
        <w:ind w:firstLine="540"/>
        <w:jc w:val="both"/>
      </w:pPr>
      <w:r>
        <w:rPr>
          <w:sz w:val="24"/>
          <w:i w:val="on"/>
        </w:rPr>
        <w:t xml:space="preserve">Также вопреки доводам учреждения судами верно указано, что пункт 3.1.24 проекта контракта противоречит именно описанию объекта закупки, расширяя его и ставя потенциального участника закупки в неизвестность относительно того, какие именно обстоятельства будут подлежать исполнению в рамках будущего контракта".</w:t>
      </w:r>
    </w:p>
    <w:p>
      <w:pPr>
        <w:pStyle w:val="0"/>
        <w:spacing w:before="240" w:lineRule="auto"/>
        <w:ind w:firstLine="540"/>
        <w:jc w:val="both"/>
      </w:pPr>
      <w:r>
        <w:rPr>
          <w:sz w:val="24"/>
        </w:rPr>
        <w:t xml:space="preserve">(</w:t>
      </w:r>
      <w:hyperlink w:history="0" r:id="rId64" w:tooltip="Постановление Арбитражного суда Центрального округа от 27.05.2026 N Ф10-889/2026 по делу N А48-4964/2025 Требование: Об отмене решений и предписания антимонопольного органа. Обстоятельства: Антимонопольным органом вынесены решения, в соответствии с которыми в действиях заказчика и уполномоченного органа признано нарушение п. 1 ч. 2 ст. 42 Закона о контрактной системе ввиду того, что в проекте контракта установлено условие, которое не предусмотрено Законом о контрактной системе и ставит подрядчика в зависимо {КонсультантПлюс}">
        <w:r>
          <w:rPr>
            <w:sz w:val="24"/>
            <w:color w:val="0000ff"/>
          </w:rPr>
          <w:t xml:space="preserve">Постановление</w:t>
        </w:r>
      </w:hyperlink>
      <w:r>
        <w:rPr>
          <w:sz w:val="24"/>
        </w:rPr>
        <w:t xml:space="preserve"> Арбитражного суда Центрального округа от 27.05.2026 по делу N А48-4964/2025)</w:t>
      </w:r>
    </w:p>
    <w:p>
      <w:pPr>
        <w:pStyle w:val="0"/>
        <w:ind w:firstLine="540"/>
        <w:jc w:val="both"/>
      </w:pPr>
      <w:r>
        <w:rPr>
          <w:sz w:val="24"/>
        </w:rPr>
      </w:r>
    </w:p>
    <w:p>
      <w:pPr>
        <w:pStyle w:val="2"/>
        <w:outlineLvl w:val="0"/>
        <w:ind w:firstLine="540"/>
        <w:jc w:val="both"/>
      </w:pPr>
      <w:r>
        <w:rPr>
          <w:sz w:val="24"/>
        </w:rPr>
        <w:t xml:space="preserve">4. Наличие ошибок в документации не относится к обстоятельствам непреодолимой силы и не является основанием для отмены определения поставщика (подрядчика, исполнителя) после истечения сроков, предусмотренных </w:t>
      </w:r>
      <w:hyperlink w:history="0" r:id="rId6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Законом</w:t>
        </w:r>
      </w:hyperlink>
      <w:r>
        <w:rPr>
          <w:sz w:val="24"/>
        </w:rPr>
        <w:t xml:space="preserve"> о контрактной системе.</w:t>
      </w:r>
    </w:p>
    <w:p>
      <w:pPr>
        <w:pStyle w:val="0"/>
        <w:ind w:firstLine="540"/>
        <w:jc w:val="both"/>
      </w:pPr>
      <w:r>
        <w:rPr>
          <w:sz w:val="24"/>
        </w:rPr>
      </w:r>
    </w:p>
    <w:p>
      <w:pPr>
        <w:pStyle w:val="0"/>
        <w:ind w:firstLine="540"/>
        <w:jc w:val="both"/>
      </w:pPr>
      <w:r>
        <w:rPr>
          <w:sz w:val="24"/>
        </w:rPr>
        <w:t xml:space="preserve">ФАС России, в результате осуществления внеплановой проверки в связи с поступлением информации о признаках нарушения законодательства Российской Федерации и иных нормативных правовых актов о контрактной системе в сфере закупок в действиях ГКУ Рязанской области "Дирекция дорог Рязанской области" (далее также - Заказчик) при проведении Заказчиком, ГКУ РО "Центр закупок Рязанской области" (далее - Уполномоченный орган) открытого конкурса в электронной форме на право заключения государственного контракта на выполнение работ по контракту, предметом которого одновременно являются подготовка проектной документации, выполнение инженерных изысканий, выполнение работ по капитальному ремонту объекта: Ряжск - Касимов - Нижний Новгород на участках км 78 + 486 - км 82 + 560, км 82 + 760 - км 98 + 686 в Путятинском муниципальном округе (78 + 486 - 82 + 560 и 82 + 760 - 92 + 800) и Шиловском муниципальном районе (92 + 800 - 98 + 686) Рязанской области (номер извещения в ЕИС - 0859200001125012768) (далее - Конкурс, Извещение), вынесено </w:t>
      </w:r>
      <w:hyperlink w:history="0" r:id="rId66" w:tooltip="Ссылка на КонсультантПлюс">
        <w:r>
          <w:rPr>
            <w:sz w:val="24"/>
            <w:color w:val="0000ff"/>
          </w:rPr>
          <w:t xml:space="preserve">решение</w:t>
        </w:r>
      </w:hyperlink>
      <w:r>
        <w:rPr>
          <w:sz w:val="24"/>
        </w:rPr>
        <w:t xml:space="preserve"> от 03.12.2025 по делу N 25/44/99/240 (далее - Решение), которым в действиях Заказчика, Уполномоченного органа установлены нарушения </w:t>
      </w:r>
      <w:hyperlink w:history="0" r:id="rId6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части 1 статьи 36</w:t>
        </w:r>
      </w:hyperlink>
      <w:r>
        <w:rPr>
          <w:sz w:val="24"/>
        </w:rPr>
        <w:t xml:space="preserve"> Закона о контрактной системе, а также выдано </w:t>
      </w:r>
      <w:hyperlink w:history="0" r:id="rId68" w:tooltip="Ссылка на КонсультантПлюс">
        <w:r>
          <w:rPr>
            <w:sz w:val="24"/>
            <w:color w:val="0000ff"/>
          </w:rPr>
          <w:t xml:space="preserve">предписание</w:t>
        </w:r>
      </w:hyperlink>
      <w:r>
        <w:rPr>
          <w:sz w:val="24"/>
        </w:rPr>
        <w:t xml:space="preserve">, направленное на восстановление нарушенных прав (далее - Предписание).</w:t>
      </w:r>
    </w:p>
    <w:p>
      <w:pPr>
        <w:pStyle w:val="0"/>
        <w:spacing w:before="240" w:lineRule="auto"/>
        <w:ind w:firstLine="540"/>
        <w:jc w:val="both"/>
      </w:pPr>
      <w:r>
        <w:rPr>
          <w:sz w:val="24"/>
        </w:rPr>
        <w:t xml:space="preserve">Согласно поступившей от ООО "АНТ-Строй" и ПАО "Дорисс" информации их права и законные интересы нарушены действиями Заказчика, Уполномоченного органа, неправомерно принявших решение об отмене определения поставщика (подрядчика, исполнителя).</w:t>
      </w:r>
    </w:p>
    <w:p>
      <w:pPr>
        <w:pStyle w:val="0"/>
        <w:spacing w:before="240" w:lineRule="auto"/>
        <w:ind w:firstLine="540"/>
        <w:jc w:val="both"/>
      </w:pPr>
      <w:r>
        <w:rPr>
          <w:sz w:val="24"/>
        </w:rPr>
        <w:t xml:space="preserve">В соответствии с </w:t>
      </w:r>
      <w:hyperlink w:history="0" r:id="rId6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частью 1 статьи 36</w:t>
        </w:r>
      </w:hyperlink>
      <w:r>
        <w:rPr>
          <w:sz w:val="24"/>
        </w:rPr>
        <w:t xml:space="preserve"> Закона о контрактной системе заказчик вправе отменить закупку с учетом требований, предусмотренных </w:t>
      </w:r>
      <w:hyperlink w:history="0" r:id="rId7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статьей 36</w:t>
        </w:r>
      </w:hyperlink>
      <w:r>
        <w:rPr>
          <w:sz w:val="24"/>
        </w:rPr>
        <w:t xml:space="preserve"> Закона о контрактной системе. По истечении сроков, предусмотренных </w:t>
      </w:r>
      <w:hyperlink w:history="0" r:id="rId7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статьей 36</w:t>
        </w:r>
      </w:hyperlink>
      <w:r>
        <w:rPr>
          <w:sz w:val="24"/>
        </w:rPr>
        <w:t xml:space="preserve"> Закона о контрактной системе, и до заключения контракта заказчик вправе отменить закупку только в случае возникновения обстоятельств непреодолимой силы.</w:t>
      </w:r>
    </w:p>
    <w:p>
      <w:pPr>
        <w:pStyle w:val="0"/>
        <w:spacing w:before="240" w:lineRule="auto"/>
        <w:ind w:firstLine="540"/>
        <w:jc w:val="both"/>
      </w:pPr>
      <w:hyperlink w:history="0" r:id="rId7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Пунктом 1 части 2 статьи 36</w:t>
        </w:r>
      </w:hyperlink>
      <w:r>
        <w:rPr>
          <w:sz w:val="24"/>
        </w:rPr>
        <w:t xml:space="preserve"> Закона о контрактной системе установлено, что при проведении электронных процедур, закрытых электронных процедур заказчик не позднее чем за один рабочий день до даты окончания срока подачи заявок на участие в закупке формирует с использованием единой информационной системы извещение об отмене закупки, подписывает его усиленной электронной подписью лица, имеющего право действовать от имени заказчика, и размещает его в ЕИС. С момента размещения указанного извещения в ЕИС закупка считается отмененной. При проведении закрытых электронных процедур такое извещение не размещается на официальном сайте.</w:t>
      </w:r>
    </w:p>
    <w:p>
      <w:pPr>
        <w:pStyle w:val="0"/>
        <w:spacing w:before="240" w:lineRule="auto"/>
        <w:ind w:firstLine="540"/>
        <w:jc w:val="both"/>
      </w:pPr>
      <w:r>
        <w:rPr>
          <w:sz w:val="24"/>
        </w:rPr>
        <w:t xml:space="preserve">На заседании Комиссии установлено, что Заказчиком 12.11.2025 опубликовано извещение об отмене определения поставщика (подрядчика, исполнителя) от 12.11.2025 N ИО1, при этом срок окончания подачи заявок - 11.11.2025.</w:t>
      </w:r>
    </w:p>
    <w:p>
      <w:pPr>
        <w:pStyle w:val="0"/>
        <w:spacing w:before="240" w:lineRule="auto"/>
        <w:ind w:firstLine="540"/>
        <w:jc w:val="both"/>
      </w:pPr>
      <w:r>
        <w:rPr>
          <w:sz w:val="24"/>
        </w:rPr>
        <w:t xml:space="preserve">Представители Заказчика, Уполномоченного органа на заседании Комиссии ФАС России пояснили, что согласно Приказу ГКУ РО "Дирекция дорог Рязанской области" от 12.11.2025 N 873ОД "Об отмене закупки 0859200001125012768 от 23.10.2025" (далее - Приказ), в процессе проверки и анализа документации Конкурса выявлены существенные ошибки в проекте сметы контракта, в связи с чем Заказчиком было принято решение об отмене определения поставщика (подрядчика, исполнителя).</w:t>
      </w:r>
    </w:p>
    <w:p>
      <w:pPr>
        <w:pStyle w:val="0"/>
        <w:spacing w:before="240" w:lineRule="auto"/>
        <w:ind w:firstLine="540"/>
        <w:jc w:val="both"/>
      </w:pPr>
      <w:r>
        <w:rPr>
          <w:sz w:val="24"/>
        </w:rPr>
        <w:t xml:space="preserve">Вместе с тем ФАС России отметила, что указанные в Приказе обстоятельства к обстоятельствам непреодолимой силы не относятся и не могу служить основанием для отмены определения поставщика (подрядчика, исполнителя).</w:t>
      </w:r>
    </w:p>
    <w:p>
      <w:pPr>
        <w:pStyle w:val="0"/>
        <w:spacing w:before="240" w:lineRule="auto"/>
        <w:ind w:firstLine="540"/>
        <w:jc w:val="both"/>
      </w:pPr>
      <w:r>
        <w:rPr>
          <w:sz w:val="24"/>
        </w:rPr>
        <w:t xml:space="preserve">Не согласившись с </w:t>
      </w:r>
      <w:hyperlink w:history="0" r:id="rId73" w:tooltip="Ссылка на КонсультантПлюс">
        <w:r>
          <w:rPr>
            <w:sz w:val="24"/>
            <w:color w:val="0000ff"/>
          </w:rPr>
          <w:t xml:space="preserve">Решением</w:t>
        </w:r>
      </w:hyperlink>
      <w:r>
        <w:rPr>
          <w:sz w:val="24"/>
        </w:rPr>
        <w:t xml:space="preserve"> и </w:t>
      </w:r>
      <w:hyperlink w:history="0" r:id="rId74" w:tooltip="Ссылка на КонсультантПлюс">
        <w:r>
          <w:rPr>
            <w:sz w:val="24"/>
            <w:color w:val="0000ff"/>
          </w:rPr>
          <w:t xml:space="preserve">Предписанием</w:t>
        </w:r>
      </w:hyperlink>
      <w:r>
        <w:rPr>
          <w:sz w:val="24"/>
        </w:rPr>
        <w:t xml:space="preserve">, Заказчик обжаловал их в судебном порядке. Вместе с тем решением Арбитражного суда города Москвы от 21.05.2026 по делу N А40-351167/2025 Заказчику отказано в удовлетворении заявленных требований.</w:t>
      </w:r>
    </w:p>
    <w:p>
      <w:pPr>
        <w:pStyle w:val="0"/>
        <w:spacing w:before="240" w:lineRule="auto"/>
        <w:ind w:firstLine="540"/>
        <w:jc w:val="both"/>
      </w:pPr>
      <w:r>
        <w:rPr>
          <w:sz w:val="24"/>
        </w:rPr>
        <w:t xml:space="preserve">Суд первой инстанции, отмечая правомерность выводов ФАС России, указал:</w:t>
      </w:r>
    </w:p>
    <w:p>
      <w:pPr>
        <w:pStyle w:val="0"/>
        <w:spacing w:before="240" w:lineRule="auto"/>
        <w:ind w:firstLine="540"/>
        <w:jc w:val="both"/>
      </w:pPr>
      <w:r>
        <w:rPr>
          <w:sz w:val="24"/>
          <w:i w:val="on"/>
        </w:rPr>
        <w:t xml:space="preserve">"Суд отмечает, что, исходя из совокупного толкования </w:t>
      </w:r>
      <w:hyperlink w:history="0" r:id="rId75" w:tooltip="&quot;Гражданский кодекс Российской Федерации (часть первая)&quot; от 30.11.1994 N 51-ФЗ (ред. от 31.07.2025, с изм. от 25.03.2026) (с изм. и доп., вступ. в силу с 01.08.2025) ------------ Недействующая редакция {КонсультантПлюс}">
        <w:r>
          <w:rPr>
            <w:sz w:val="24"/>
            <w:color w:val="0000ff"/>
            <w:i w:val="on"/>
          </w:rPr>
          <w:t xml:space="preserve">пункта 3 статьи 401</w:t>
        </w:r>
      </w:hyperlink>
      <w:r>
        <w:rPr>
          <w:sz w:val="24"/>
          <w:i w:val="on"/>
        </w:rPr>
        <w:t xml:space="preserve"> Гражданского кодекса Российской Федерации, </w:t>
      </w:r>
      <w:hyperlink w:history="0" r:id="rId76"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sz w:val="24"/>
            <w:color w:val="0000ff"/>
            <w:i w:val="on"/>
          </w:rPr>
          <w:t xml:space="preserve">пункта 8</w:t>
        </w:r>
      </w:hyperlink>
      <w:r>
        <w:rPr>
          <w:sz w:val="24"/>
          <w:i w:val="on"/>
        </w:rPr>
        <w:t xml:space="preserve"> Постановления Пленума Верховного Суда РФ от 24.03.2016 N 7, </w:t>
      </w:r>
      <w:hyperlink w:history="0" r:id="rId77" w:tooltip="Постановление Президиума ВАС РФ от 21.06.2012 N 3352/12 по делу N А40-25926/2011-13-230 Требование: О взыскании убытков по договору на оказание услуг по ответственному хранению. Обстоятельства: Заказчик ссылается на то, что в результате пожара переданное им на хранение исполнителю имущество было полностью уничтожено. Решение: Иск удовлетворен, поскольку чрезвычайный характер непреодолимой силы не допускает квалификации в качестве таковой любого жизненного факта; ее отличие от случая в том, что она имеет в о {КонсультантПлюс}">
        <w:r>
          <w:rPr>
            <w:sz w:val="24"/>
            <w:color w:val="0000ff"/>
            <w:i w:val="on"/>
          </w:rPr>
          <w:t xml:space="preserve">Постановления</w:t>
        </w:r>
      </w:hyperlink>
      <w:r>
        <w:rPr>
          <w:sz w:val="24"/>
          <w:i w:val="on"/>
        </w:rPr>
        <w:t xml:space="preserve"> Президиума ВАС РФ от 21.06.2012 N 3352/12, обстоятельствами непреодолимой силы являются лишь такие обстоятельства, которые одновременно являются чрезвычайными и непредотвратимыми при данных условиях, при этом:</w:t>
      </w:r>
    </w:p>
    <w:p>
      <w:pPr>
        <w:pStyle w:val="0"/>
        <w:spacing w:before="240" w:lineRule="auto"/>
        <w:ind w:firstLine="540"/>
        <w:jc w:val="both"/>
      </w:pPr>
      <w:r>
        <w:rPr>
          <w:sz w:val="24"/>
          <w:i w:val="on"/>
        </w:rPr>
        <w:t xml:space="preserve">- чрезвычайность предполагает исключительность рассматриваемого обстоятельства, наступление которого в конкретных условиях является необычным.</w:t>
      </w:r>
    </w:p>
    <w:p>
      <w:pPr>
        <w:pStyle w:val="0"/>
        <w:spacing w:before="240" w:lineRule="auto"/>
        <w:ind w:firstLine="540"/>
        <w:jc w:val="both"/>
      </w:pPr>
      <w:r>
        <w:rPr>
          <w:sz w:val="24"/>
          <w:i w:val="on"/>
        </w:rPr>
        <w:t xml:space="preserve">Это выход за пределы нормального, обыденного, что не относится к жизненному риску и не может быть учтено ни при каких обстоятельствах;</w:t>
      </w:r>
    </w:p>
    <w:p>
      <w:pPr>
        <w:pStyle w:val="0"/>
        <w:spacing w:before="240" w:lineRule="auto"/>
        <w:ind w:firstLine="540"/>
        <w:jc w:val="both"/>
      </w:pPr>
      <w:r>
        <w:rPr>
          <w:sz w:val="24"/>
          <w:i w:val="on"/>
        </w:rPr>
        <w:t xml:space="preserve">- непредотвратимость означает, что любой участник гражданского оборота, осуществляющий аналогичную с должником деятельность, не мог бы избежать наступления этого обстоятельства или его последствий. Непредотвратимость должна быть объективной, а не субъективной.</w:t>
      </w:r>
    </w:p>
    <w:p>
      <w:pPr>
        <w:pStyle w:val="0"/>
        <w:spacing w:before="240" w:lineRule="auto"/>
        <w:ind w:firstLine="540"/>
        <w:jc w:val="both"/>
      </w:pPr>
      <w:r>
        <w:rPr>
          <w:sz w:val="24"/>
          <w:i w:val="on"/>
        </w:rPr>
        <w:t xml:space="preserve">Учитывая изложенное, комиссия ФАС России правомерно указала, что вышеуказанные действия Заказчика, Уполномоченного органа нарушают </w:t>
      </w:r>
      <w:hyperlink w:history="0" r:id="rId7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i w:val="on"/>
          </w:rPr>
          <w:t xml:space="preserve">часть 1 статьи 36</w:t>
        </w:r>
      </w:hyperlink>
      <w:r>
        <w:rPr>
          <w:sz w:val="24"/>
          <w:i w:val="on"/>
        </w:rPr>
        <w:t xml:space="preserve"> Закона о контрактной системе".</w:t>
      </w:r>
    </w:p>
    <w:p>
      <w:pPr>
        <w:pStyle w:val="0"/>
        <w:spacing w:before="240" w:lineRule="auto"/>
        <w:ind w:firstLine="540"/>
        <w:jc w:val="both"/>
      </w:pPr>
      <w:r>
        <w:rPr>
          <w:sz w:val="24"/>
        </w:rPr>
        <w:t xml:space="preserve">(Решение Арбитражного суда города Москвы от 21.05.2026 по делу N А40-351167/25-33-2934)</w:t>
      </w:r>
    </w:p>
    <w:p>
      <w:pPr>
        <w:pStyle w:val="0"/>
        <w:ind w:firstLine="540"/>
        <w:jc w:val="both"/>
      </w:pPr>
      <w:r>
        <w:rPr>
          <w:sz w:val="24"/>
        </w:rPr>
      </w:r>
    </w:p>
    <w:p>
      <w:pPr>
        <w:pStyle w:val="2"/>
        <w:outlineLvl w:val="0"/>
        <w:ind w:firstLine="540"/>
        <w:jc w:val="both"/>
      </w:pPr>
      <w:r>
        <w:rPr>
          <w:sz w:val="24"/>
        </w:rPr>
        <w:t xml:space="preserve">5. Не допускается включение в проект контракта обязанностей поставщика лекарственных препаратов, которые зависят от волеизъявления третьих лиц.</w:t>
      </w:r>
    </w:p>
    <w:p>
      <w:pPr>
        <w:pStyle w:val="0"/>
        <w:ind w:firstLine="540"/>
        <w:jc w:val="both"/>
      </w:pPr>
      <w:r>
        <w:rPr>
          <w:sz w:val="24"/>
        </w:rPr>
      </w:r>
    </w:p>
    <w:p>
      <w:pPr>
        <w:pStyle w:val="0"/>
        <w:ind w:firstLine="540"/>
        <w:jc w:val="both"/>
      </w:pPr>
      <w:r>
        <w:rPr>
          <w:sz w:val="24"/>
        </w:rPr>
        <w:t xml:space="preserve">ФАС России по результатам рассмотрения жалоб АО "Фармстандарт" (далее - Общество, Жалобы) на действия ФКУ "ФЦПИЛО" Минздрава России (далее - Заказчик) при проведении Заказчиком, комиссией по осуществлению закупок Заказчика, АО "Сбербанк-АСТ" запросов котировок в электронной форме, электронных аукционов (номера извещений в ЕИС: 0873400003925000548, 0873400003925000549, 0873400003925000522, 0873400003925000546, 0873400003925000520, 0873400003925000503, 0873400003925000508, 0873400003925000509, 0873400003925000496) (далее - Извещения, Закупки) вынесены решения от 27.11.2025 по делам </w:t>
      </w:r>
      <w:hyperlink w:history="0" r:id="rId79" w:tooltip="Ссылка на КонсультантПлюс">
        <w:r>
          <w:rPr>
            <w:sz w:val="24"/>
            <w:color w:val="0000ff"/>
          </w:rPr>
          <w:t xml:space="preserve">N 28/06/105-4650/2025</w:t>
        </w:r>
      </w:hyperlink>
      <w:r>
        <w:rPr>
          <w:sz w:val="24"/>
        </w:rPr>
        <w:t xml:space="preserve">, </w:t>
      </w:r>
      <w:hyperlink w:history="0" r:id="rId80" w:tooltip="Ссылка на КонсультантПлюс">
        <w:r>
          <w:rPr>
            <w:sz w:val="24"/>
            <w:color w:val="0000ff"/>
          </w:rPr>
          <w:t xml:space="preserve">28/06/105-4649/2025</w:t>
        </w:r>
      </w:hyperlink>
      <w:r>
        <w:rPr>
          <w:sz w:val="24"/>
        </w:rPr>
        <w:t xml:space="preserve">, </w:t>
      </w:r>
      <w:hyperlink w:history="0" r:id="rId81" w:tooltip="Ссылка на КонсультантПлюс">
        <w:r>
          <w:rPr>
            <w:sz w:val="24"/>
            <w:color w:val="0000ff"/>
          </w:rPr>
          <w:t xml:space="preserve">28/06/105-4647/2025</w:t>
        </w:r>
      </w:hyperlink>
      <w:r>
        <w:rPr>
          <w:sz w:val="24"/>
        </w:rPr>
        <w:t xml:space="preserve">, </w:t>
      </w:r>
      <w:hyperlink w:history="0" r:id="rId82" w:tooltip="Ссылка на КонсультантПлюс">
        <w:r>
          <w:rPr>
            <w:sz w:val="24"/>
            <w:color w:val="0000ff"/>
          </w:rPr>
          <w:t xml:space="preserve">28/06/105-4646/2025</w:t>
        </w:r>
      </w:hyperlink>
      <w:r>
        <w:rPr>
          <w:sz w:val="24"/>
        </w:rPr>
        <w:t xml:space="preserve">, от 21.11.2025 по делам </w:t>
      </w:r>
      <w:hyperlink w:history="0" r:id="rId83" w:tooltip="Ссылка на КонсультантПлюс">
        <w:r>
          <w:rPr>
            <w:sz w:val="24"/>
            <w:color w:val="0000ff"/>
          </w:rPr>
          <w:t xml:space="preserve">N 28/06/105-4589/2025</w:t>
        </w:r>
      </w:hyperlink>
      <w:r>
        <w:rPr>
          <w:sz w:val="24"/>
        </w:rPr>
        <w:t xml:space="preserve">, </w:t>
      </w:r>
      <w:hyperlink w:history="0" r:id="rId84" w:tooltip="Ссылка на КонсультантПлюс">
        <w:r>
          <w:rPr>
            <w:sz w:val="24"/>
            <w:color w:val="0000ff"/>
          </w:rPr>
          <w:t xml:space="preserve">28/06/105-4588/2025</w:t>
        </w:r>
      </w:hyperlink>
      <w:r>
        <w:rPr>
          <w:sz w:val="24"/>
        </w:rPr>
        <w:t xml:space="preserve">, </w:t>
      </w:r>
      <w:hyperlink w:history="0" r:id="rId85" w:tooltip="Ссылка на КонсультантПлюс">
        <w:r>
          <w:rPr>
            <w:sz w:val="24"/>
            <w:color w:val="0000ff"/>
          </w:rPr>
          <w:t xml:space="preserve">28/06/105-4586/2025</w:t>
        </w:r>
      </w:hyperlink>
      <w:r>
        <w:rPr>
          <w:sz w:val="24"/>
        </w:rPr>
        <w:t xml:space="preserve">, </w:t>
      </w:r>
      <w:hyperlink w:history="0" r:id="rId86" w:tooltip="Ссылка на КонсультантПлюс">
        <w:r>
          <w:rPr>
            <w:sz w:val="24"/>
            <w:color w:val="0000ff"/>
          </w:rPr>
          <w:t xml:space="preserve">28/06/105-4584/2025</w:t>
        </w:r>
      </w:hyperlink>
      <w:r>
        <w:rPr>
          <w:sz w:val="24"/>
        </w:rPr>
        <w:t xml:space="preserve">, </w:t>
      </w:r>
      <w:hyperlink w:history="0" r:id="rId87" w:tooltip="Ссылка на КонсультантПлюс">
        <w:r>
          <w:rPr>
            <w:sz w:val="24"/>
            <w:color w:val="0000ff"/>
          </w:rPr>
          <w:t xml:space="preserve">28/06/105-4583/2025</w:t>
        </w:r>
      </w:hyperlink>
      <w:r>
        <w:rPr>
          <w:sz w:val="24"/>
        </w:rPr>
        <w:t xml:space="preserve">, которыми в действиях Заказчика установлены нарушения </w:t>
      </w:r>
      <w:hyperlink w:history="0" r:id="rId8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части 1 статьи 34</w:t>
        </w:r>
      </w:hyperlink>
      <w:r>
        <w:rPr>
          <w:sz w:val="24"/>
        </w:rPr>
        <w:t xml:space="preserve"> Закона о контрактной системе, а также выданы предписания, направленные на восстановление нарушенных прав (далее - Предписания).</w:t>
      </w:r>
    </w:p>
    <w:p>
      <w:pPr>
        <w:pStyle w:val="0"/>
        <w:spacing w:before="240" w:lineRule="auto"/>
        <w:ind w:firstLine="540"/>
        <w:jc w:val="both"/>
      </w:pPr>
      <w:r>
        <w:rPr>
          <w:sz w:val="24"/>
        </w:rPr>
        <w:t xml:space="preserve">Как следует из обстоятельств дела, по окончании срока подачи заявок не подано ни одной заявки на участие в Закупках, в связи с чем Закупки признаны несостоявшимися.</w:t>
      </w:r>
    </w:p>
    <w:p>
      <w:pPr>
        <w:pStyle w:val="0"/>
        <w:spacing w:before="240" w:lineRule="auto"/>
        <w:ind w:firstLine="540"/>
        <w:jc w:val="both"/>
      </w:pPr>
      <w:r>
        <w:rPr>
          <w:sz w:val="24"/>
        </w:rPr>
        <w:t xml:space="preserve">Из Жалоб следовало, что права и законные интересы Общества нарушены действиями Заказчика, установившего в проектах контрактов Извещений (далее - Проекты контрактов) требования, ограничивающие потенциального поставщика.</w:t>
      </w:r>
    </w:p>
    <w:p>
      <w:pPr>
        <w:pStyle w:val="0"/>
        <w:spacing w:before="240" w:lineRule="auto"/>
        <w:ind w:firstLine="540"/>
        <w:jc w:val="both"/>
      </w:pPr>
      <w:hyperlink w:history="0" r:id="rId8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Частью 1 статьи 31</w:t>
        </w:r>
      </w:hyperlink>
      <w:r>
        <w:rPr>
          <w:sz w:val="24"/>
        </w:rPr>
        <w:t xml:space="preserve"> Закона о контрактной системе установлено, что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w:history="0" r:id="rId9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пунктами 4</w:t>
        </w:r>
      </w:hyperlink>
      <w:r>
        <w:rPr>
          <w:sz w:val="24"/>
        </w:rPr>
        <w:t xml:space="preserve">, </w:t>
      </w:r>
      <w:hyperlink w:history="0" r:id="rId9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5</w:t>
        </w:r>
      </w:hyperlink>
      <w:r>
        <w:rPr>
          <w:sz w:val="24"/>
        </w:rPr>
        <w:t xml:space="preserve">, </w:t>
      </w:r>
      <w:hyperlink w:history="0" r:id="rId9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18</w:t>
        </w:r>
      </w:hyperlink>
      <w:r>
        <w:rPr>
          <w:sz w:val="24"/>
        </w:rPr>
        <w:t xml:space="preserve">, </w:t>
      </w:r>
      <w:hyperlink w:history="0" r:id="rId9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30</w:t>
        </w:r>
      </w:hyperlink>
      <w:r>
        <w:rPr>
          <w:sz w:val="24"/>
        </w:rPr>
        <w:t xml:space="preserve">, </w:t>
      </w:r>
      <w:hyperlink w:history="0" r:id="rId9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42</w:t>
        </w:r>
      </w:hyperlink>
      <w:r>
        <w:rPr>
          <w:sz w:val="24"/>
        </w:rPr>
        <w:t xml:space="preserve">, </w:t>
      </w:r>
      <w:hyperlink w:history="0" r:id="rId9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49</w:t>
        </w:r>
      </w:hyperlink>
      <w:r>
        <w:rPr>
          <w:sz w:val="24"/>
        </w:rPr>
        <w:t xml:space="preserve">, </w:t>
      </w:r>
      <w:hyperlink w:history="0" r:id="rId9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54</w:t>
        </w:r>
      </w:hyperlink>
      <w:r>
        <w:rPr>
          <w:sz w:val="24"/>
        </w:rPr>
        <w:t xml:space="preserve"> и </w:t>
      </w:r>
      <w:hyperlink w:history="0" r:id="rId9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59 части 1 статьи 93</w:t>
        </w:r>
      </w:hyperlink>
      <w:r>
        <w:rPr>
          <w:sz w:val="24"/>
        </w:rPr>
        <w:t xml:space="preserve"> Закона о контрактной системе, заказчик устанавливает единые требования к участникам закупки, в том числе о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pPr>
        <w:pStyle w:val="0"/>
        <w:spacing w:before="240" w:lineRule="auto"/>
        <w:ind w:firstLine="540"/>
        <w:jc w:val="both"/>
      </w:pPr>
      <w:hyperlink w:history="0" r:id="rId98" w:tooltip="Федеральный закон от 12.04.2010 N 61-ФЗ (ред. от 29.12.2025) &quot;Об обращении лекарственных средств&quot; (с изм. и доп., вступ. в силу с 01.03.2026) ------------ Недействующая редакция {КонсультантПлюс}">
        <w:r>
          <w:rPr>
            <w:sz w:val="24"/>
            <w:color w:val="0000ff"/>
          </w:rPr>
          <w:t xml:space="preserve">Частью 1 статьи 13</w:t>
        </w:r>
      </w:hyperlink>
      <w:r>
        <w:rPr>
          <w:sz w:val="24"/>
        </w:rPr>
        <w:t xml:space="preserve"> Федерального закона от 12.04.2010 N 61-ФЗ "Об обращении лекарственных средств" (далее - Закон об обращении лекарственных средств) установлено, что в Российской Федерации допускаются производство, хранение, перевозка, ввоз в Российскую Федерацию, вывоз из Российской Федерации, реклама, отпуск, реализация, передача, применение лекарственных препаратов, если они зарегистрированы уполномоченным федеральным органом исполнительной власти в соответствии с </w:t>
      </w:r>
      <w:hyperlink w:history="0" r:id="rId99" w:tooltip="Федеральный закон от 12.04.2010 N 61-ФЗ (ред. от 29.12.2025) &quot;Об обращении лекарственных средств&quot; (с изм. и доп., вступ. в силу с 01.03.2026) ------------ Недействующая редакция {КонсультантПлюс}">
        <w:r>
          <w:rPr>
            <w:sz w:val="24"/>
            <w:color w:val="0000ff"/>
          </w:rPr>
          <w:t xml:space="preserve">Законом</w:t>
        </w:r>
      </w:hyperlink>
      <w:r>
        <w:rPr>
          <w:sz w:val="24"/>
        </w:rPr>
        <w:t xml:space="preserve"> об обращении лекарственных средств либо в соответствии с актами, составляющими право Евразийского экономического союза.</w:t>
      </w:r>
    </w:p>
    <w:p>
      <w:pPr>
        <w:pStyle w:val="0"/>
        <w:spacing w:before="240" w:lineRule="auto"/>
        <w:ind w:firstLine="540"/>
        <w:jc w:val="both"/>
      </w:pPr>
      <w:hyperlink w:history="0" r:id="rId100" w:tooltip="Федеральный закон от 12.04.2010 N 61-ФЗ (ред. от 29.12.2025) &quot;Об обращении лекарственных средств&quot; (с изм. и доп., вступ. в силу с 01.03.2026) ------------ Недействующая редакция {КонсультантПлюс}">
        <w:r>
          <w:rPr>
            <w:sz w:val="24"/>
            <w:color w:val="0000ff"/>
          </w:rPr>
          <w:t xml:space="preserve">Пунктом 26 части 1 статьи 4</w:t>
        </w:r>
      </w:hyperlink>
      <w:r>
        <w:rPr>
          <w:sz w:val="24"/>
        </w:rPr>
        <w:t xml:space="preserve"> Закона об обращении лекарственных средств установлено, что регистрационное удостоверение лекарственного препарата - документ, подтверждающий факт государственной регистрации лекарственного препарата.</w:t>
      </w:r>
    </w:p>
    <w:p>
      <w:pPr>
        <w:pStyle w:val="0"/>
        <w:spacing w:before="240" w:lineRule="auto"/>
        <w:ind w:firstLine="540"/>
        <w:jc w:val="both"/>
      </w:pPr>
      <w:r>
        <w:rPr>
          <w:sz w:val="24"/>
        </w:rPr>
        <w:t xml:space="preserve">Согласно </w:t>
      </w:r>
      <w:hyperlink w:history="0" r:id="rId101" w:tooltip="Федеральный закон от 12.04.2010 N 61-ФЗ (ред. от 29.12.2025) &quot;Об обращении лекарственных средств&quot; (с изм. и доп., вступ. в силу с 01.03.2026) ------------ Недействующая редакция {КонсультантПлюс}">
        <w:r>
          <w:rPr>
            <w:sz w:val="24"/>
            <w:color w:val="0000ff"/>
          </w:rPr>
          <w:t xml:space="preserve">пункту 26.1 части 1 статьи 4</w:t>
        </w:r>
      </w:hyperlink>
      <w:r>
        <w:rPr>
          <w:sz w:val="24"/>
        </w:rPr>
        <w:t xml:space="preserve"> Закона об обращении лекарственных средств держатель или владелец регистрационного удостоверения лекарственного препарата (далее - РУ) - разработчик лекарственного средства, производитель лекарственных средств или иное юридическое лицо, обладающее правом владения регистрационным удостоверением, которые несут ответственность за качество, эффективность и безопасность лекарственного препарата.</w:t>
      </w:r>
    </w:p>
    <w:p>
      <w:pPr>
        <w:pStyle w:val="0"/>
        <w:spacing w:before="240" w:lineRule="auto"/>
        <w:ind w:firstLine="540"/>
        <w:jc w:val="both"/>
      </w:pPr>
      <w:r>
        <w:rPr>
          <w:sz w:val="24"/>
        </w:rPr>
        <w:t xml:space="preserve">Таким образом, в целях подтверждения соответствия требованиям </w:t>
      </w:r>
      <w:hyperlink w:history="0" r:id="rId10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пункта 1 части 1 статьи 31</w:t>
        </w:r>
      </w:hyperlink>
      <w:r>
        <w:rPr>
          <w:sz w:val="24"/>
        </w:rPr>
        <w:t xml:space="preserve"> Закона о контрактной системе участнику в составе заявки необходимо предоставить копию регистрационного удостоверения или сведения о регистрационном удостоверении, которые могут быть проверены заказчиком на сайте Росздравнадзора.</w:t>
      </w:r>
    </w:p>
    <w:p>
      <w:pPr>
        <w:pStyle w:val="0"/>
        <w:spacing w:before="240" w:lineRule="auto"/>
        <w:ind w:firstLine="540"/>
        <w:jc w:val="both"/>
      </w:pPr>
      <w:r>
        <w:rPr>
          <w:sz w:val="24"/>
        </w:rPr>
        <w:t xml:space="preserve">Подпунктом "а" пункта 3.1.3 Проектов контрактов установлено, что в период исполнения контрактов при окончании срока действия регистрационного удостоверения лекарственного препарата поставщик обязан:</w:t>
      </w:r>
    </w:p>
    <w:p>
      <w:pPr>
        <w:pStyle w:val="0"/>
        <w:spacing w:before="240" w:lineRule="auto"/>
        <w:ind w:firstLine="540"/>
        <w:jc w:val="both"/>
      </w:pPr>
      <w:r>
        <w:rPr>
          <w:sz w:val="24"/>
        </w:rPr>
        <w:t xml:space="preserve">- в течение 5 рабочих дней со дня направления в уполномоченный федеральный орган исполнительной власти заявления о подтверждении государственной регистрации представить Заказчику копию такого заявления;</w:t>
      </w:r>
    </w:p>
    <w:p>
      <w:pPr>
        <w:pStyle w:val="0"/>
        <w:spacing w:before="240" w:lineRule="auto"/>
        <w:ind w:firstLine="540"/>
        <w:jc w:val="both"/>
      </w:pPr>
      <w:r>
        <w:rPr>
          <w:sz w:val="24"/>
        </w:rPr>
        <w:t xml:space="preserve">- в течение 3 рабочих дней предоставлять информацию о статусе рассмотрения заявления по требованию Заказчика;</w:t>
      </w:r>
    </w:p>
    <w:p>
      <w:pPr>
        <w:pStyle w:val="0"/>
        <w:spacing w:before="240" w:lineRule="auto"/>
        <w:ind w:firstLine="540"/>
        <w:jc w:val="both"/>
      </w:pPr>
      <w:r>
        <w:rPr>
          <w:sz w:val="24"/>
        </w:rPr>
        <w:t xml:space="preserve">- незамедлительно информировать Заказчика о принятии решения по результатам рассмотрения заявления о подтверждении государственной регистрации или об отмене регистрационного удостоверения.</w:t>
      </w:r>
    </w:p>
    <w:p>
      <w:pPr>
        <w:pStyle w:val="0"/>
        <w:spacing w:before="240" w:lineRule="auto"/>
        <w:ind w:firstLine="540"/>
        <w:jc w:val="both"/>
      </w:pPr>
      <w:r>
        <w:rPr>
          <w:sz w:val="24"/>
        </w:rPr>
        <w:t xml:space="preserve">Также подпунктом "б" пункта 3.1.3 Проектов контрактов установлено, что при внесении изменений в регистрационное удостоверение лекарственного препарата, влияющих на исполнение контрактов:</w:t>
      </w:r>
    </w:p>
    <w:p>
      <w:pPr>
        <w:pStyle w:val="0"/>
        <w:spacing w:before="240" w:lineRule="auto"/>
        <w:ind w:firstLine="540"/>
        <w:jc w:val="both"/>
      </w:pPr>
      <w:r>
        <w:rPr>
          <w:sz w:val="24"/>
        </w:rPr>
        <w:t xml:space="preserve">- не позднее 3 рабочих дней информировать Заказчика о направлении заявления о внесении изменений в регистрационное удостоверение с указанием характера изменений;</w:t>
      </w:r>
    </w:p>
    <w:p>
      <w:pPr>
        <w:pStyle w:val="0"/>
        <w:spacing w:before="240" w:lineRule="auto"/>
        <w:ind w:firstLine="540"/>
        <w:jc w:val="both"/>
      </w:pPr>
      <w:r>
        <w:rPr>
          <w:sz w:val="24"/>
        </w:rPr>
        <w:t xml:space="preserve">- в течение 5 рабочих дней представить Заказчику копию измененного регистрационного удостоверения с момента его получения;</w:t>
      </w:r>
    </w:p>
    <w:p>
      <w:pPr>
        <w:pStyle w:val="0"/>
        <w:spacing w:before="240" w:lineRule="auto"/>
        <w:ind w:firstLine="540"/>
        <w:jc w:val="both"/>
      </w:pPr>
      <w:r>
        <w:rPr>
          <w:sz w:val="24"/>
        </w:rPr>
        <w:t xml:space="preserve">- в случае отказа в регистрации изменений или отмены регистрационного удостоверения немедленно уведомить Заказчика.</w:t>
      </w:r>
    </w:p>
    <w:p>
      <w:pPr>
        <w:pStyle w:val="0"/>
        <w:spacing w:before="240" w:lineRule="auto"/>
        <w:ind w:firstLine="540"/>
        <w:jc w:val="both"/>
      </w:pPr>
      <w:r>
        <w:rPr>
          <w:sz w:val="24"/>
        </w:rPr>
        <w:t xml:space="preserve">Представитель Заказчика сообщил, что предусмотренные подпунктами "а" и "б" пункта 3.1.3 Проектов контрактов положения являются информационными и уведомительными обязанностями поставщика, носят процедурный характер и направлены на оперативное предоставление сведений.</w:t>
      </w:r>
    </w:p>
    <w:p>
      <w:pPr>
        <w:pStyle w:val="0"/>
        <w:spacing w:before="240" w:lineRule="auto"/>
        <w:ind w:firstLine="540"/>
        <w:jc w:val="both"/>
      </w:pPr>
      <w:r>
        <w:rPr>
          <w:sz w:val="24"/>
        </w:rPr>
        <w:t xml:space="preserve">ФАС России установлено, что законодательством Российской Федерации не предусмотрен механизм информирования держателем регистрационного удостоверения иных организаций, являющихся поставщиками по государственным контрактам, о намерении по внесению изменений в регистрационное удостоверение.</w:t>
      </w:r>
    </w:p>
    <w:p>
      <w:pPr>
        <w:pStyle w:val="0"/>
        <w:spacing w:before="240" w:lineRule="auto"/>
        <w:ind w:firstLine="540"/>
        <w:jc w:val="both"/>
      </w:pPr>
      <w:r>
        <w:rPr>
          <w:sz w:val="24"/>
        </w:rPr>
        <w:t xml:space="preserve">Следовательно, указанные требования Проектов контрактов ограничивают потенциального поставщика при исполнении обязательств, предусмотренных контрактами ввиду того, что поставщик может не являться производителем лекарственного препарата и не обладать сведениями об изменениях, вносимых держателем регистрационного удостоверения в регистрационное удостоверение лекарственного препарата.</w:t>
      </w:r>
    </w:p>
    <w:p>
      <w:pPr>
        <w:pStyle w:val="0"/>
        <w:spacing w:before="240" w:lineRule="auto"/>
        <w:ind w:firstLine="540"/>
        <w:jc w:val="both"/>
      </w:pPr>
      <w:r>
        <w:rPr>
          <w:sz w:val="24"/>
        </w:rPr>
        <w:t xml:space="preserve">Кроме того, ФАС России пришла к выводу, что вышеуказанные положения Проектов контрактов ставят в зависимость потенциального поставщика от волеизъявления держателя регистрационного удостоверения, что не соответствует требованиям </w:t>
      </w:r>
      <w:hyperlink w:history="0" r:id="rId10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 Недействующая редакция {КонсультантПлюс}">
        <w:r>
          <w:rPr>
            <w:sz w:val="24"/>
            <w:color w:val="0000ff"/>
          </w:rPr>
          <w:t xml:space="preserve">Закона</w:t>
        </w:r>
      </w:hyperlink>
      <w:r>
        <w:rPr>
          <w:sz w:val="24"/>
        </w:rPr>
        <w:t xml:space="preserve"> о контрактной системе.</w:t>
      </w:r>
    </w:p>
    <w:p>
      <w:pPr>
        <w:pStyle w:val="0"/>
        <w:spacing w:before="240" w:lineRule="auto"/>
        <w:ind w:firstLine="540"/>
        <w:jc w:val="both"/>
      </w:pPr>
      <w:r>
        <w:rPr>
          <w:sz w:val="24"/>
        </w:rPr>
        <w:t xml:space="preserve">Не согласившись с </w:t>
      </w:r>
      <w:r>
        <w:rPr>
          <w:sz w:val="24"/>
        </w:rPr>
        <w:t xml:space="preserve">Решениями</w:t>
      </w:r>
      <w:r>
        <w:rPr>
          <w:sz w:val="24"/>
        </w:rPr>
        <w:t xml:space="preserve">, Заказчик обжаловал их в судебном порядке. Решением Арбитражного суда города Москвы от 29.05.2026 по делу N А40-48215/2026 Заказчику отказано в удовлетворении заявленных требований.</w:t>
      </w:r>
    </w:p>
    <w:p>
      <w:pPr>
        <w:pStyle w:val="0"/>
        <w:spacing w:before="240" w:lineRule="auto"/>
        <w:ind w:firstLine="540"/>
        <w:jc w:val="both"/>
      </w:pPr>
      <w:r>
        <w:rPr>
          <w:sz w:val="24"/>
        </w:rPr>
        <w:t xml:space="preserve">Суд первой инстанции отметил следующее:</w:t>
      </w:r>
    </w:p>
    <w:p>
      <w:pPr>
        <w:pStyle w:val="0"/>
        <w:spacing w:before="240" w:lineRule="auto"/>
        <w:ind w:firstLine="540"/>
        <w:jc w:val="both"/>
      </w:pPr>
      <w:r>
        <w:rPr>
          <w:sz w:val="24"/>
          <w:i w:val="on"/>
        </w:rPr>
        <w:t xml:space="preserve">"Зачастую держателем РУ является не производитель лекарственного препарата, а иное юридическое лицо, в том числе иностранные компании.</w:t>
      </w:r>
    </w:p>
    <w:p>
      <w:pPr>
        <w:pStyle w:val="0"/>
        <w:spacing w:before="240" w:lineRule="auto"/>
        <w:ind w:firstLine="540"/>
        <w:jc w:val="both"/>
      </w:pPr>
      <w:r>
        <w:rPr>
          <w:sz w:val="24"/>
          <w:i w:val="on"/>
        </w:rPr>
        <w:t xml:space="preserve">В этом случае поставщик не имеет правовой возможности повлиять на данного субъекта предпринимательской деятельности и не может возложить на него обязанность по предоставлению информации о внесении изменений в РУ в столь короткие сроки, поскольку не имеет с ним прямых договорных отношений.</w:t>
      </w:r>
    </w:p>
    <w:p>
      <w:pPr>
        <w:pStyle w:val="0"/>
        <w:spacing w:before="240" w:lineRule="auto"/>
        <w:ind w:firstLine="540"/>
        <w:jc w:val="both"/>
      </w:pPr>
      <w:r>
        <w:rPr>
          <w:sz w:val="24"/>
          <w:i w:val="on"/>
        </w:rPr>
        <w:t xml:space="preserve">Держатель РУ, являющийся самостоятельным юридическим лицом, может не отреагировать на просьбу поставщика о предоставлении таких сведений в столь короткие сроки, обозначенные Заказчиком в подпунктах "а", "б" пункта 3.1.3 Проектов контрактов.</w:t>
      </w:r>
    </w:p>
    <w:p>
      <w:pPr>
        <w:pStyle w:val="0"/>
        <w:spacing w:before="240" w:lineRule="auto"/>
        <w:ind w:firstLine="540"/>
        <w:jc w:val="both"/>
      </w:pPr>
      <w:r>
        <w:rPr>
          <w:sz w:val="24"/>
          <w:i w:val="on"/>
        </w:rPr>
        <w:t xml:space="preserve">Принимая такие заведомо невыполнимые условия Проектов контрактов, поставщик в результате действий Заказчика по включению спорных условий в Проекты контрактов несет риски его неисполнения и, как следствие, включения в реестр недобросовестных поставщиков (подрядчиков, исполнителей)".</w:t>
      </w:r>
    </w:p>
    <w:p>
      <w:pPr>
        <w:pStyle w:val="0"/>
        <w:spacing w:before="240" w:lineRule="auto"/>
        <w:ind w:firstLine="540"/>
        <w:jc w:val="both"/>
      </w:pPr>
      <w:r>
        <w:rPr>
          <w:sz w:val="24"/>
        </w:rPr>
        <w:t xml:space="preserve">(Решение Арбитражного суда города Москвы от 29.05.2026 по делу N А40-48215/26-130-314)</w:t>
      </w:r>
    </w:p>
    <w:p>
      <w:pPr>
        <w:pStyle w:val="0"/>
        <w:ind w:firstLine="540"/>
        <w:jc w:val="both"/>
      </w:pPr>
      <w:r>
        <w:rPr>
          <w:sz w:val="24"/>
        </w:rPr>
      </w:r>
    </w:p>
    <w:p>
      <w:pPr>
        <w:pStyle w:val="0"/>
        <w:jc w:val="right"/>
      </w:pPr>
      <w:r>
        <w:rPr>
          <w:sz w:val="24"/>
        </w:rPr>
        <w:t xml:space="preserve">Д.С. Бомбырь</w:t>
      </w:r>
    </w:p>
    <w:p>
      <w:pPr>
        <w:pStyle w:val="0"/>
        <w:jc w:val="right"/>
      </w:pPr>
      <w:r>
        <w:rPr>
          <w:sz w:val="24"/>
        </w:rPr>
        <w:t xml:space="preserve">Начальник Управления контроля размещения</w:t>
      </w:r>
    </w:p>
    <w:p>
      <w:pPr>
        <w:pStyle w:val="0"/>
        <w:jc w:val="right"/>
      </w:pPr>
      <w:r>
        <w:rPr>
          <w:sz w:val="24"/>
        </w:rPr>
        <w:t xml:space="preserve">государственного заказа ФАС России</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"Обзор судебной практики в сфере закупок для государственных и муниципальных нужд (май 2026 года)"</w:t>
            <w:br/>
            <w:t>(Управление контроля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23.09.2026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95181&amp;date=23.09.2026&amp;dst=12032&amp;field=134" TargetMode = "External"/><Relationship Id="rId9" Type="http://schemas.openxmlformats.org/officeDocument/2006/relationships/hyperlink" Target="https://login.consultant.ru/link/?req=doc&amp;base=LAW&amp;n=492870&amp;date=23.09.2026&amp;dst=68&amp;field=134" TargetMode = "External"/><Relationship Id="rId10" Type="http://schemas.openxmlformats.org/officeDocument/2006/relationships/hyperlink" Target="https://login.consultant.ru/link/?req=doc&amp;base=PAS&amp;n=1049372&amp;date=23.09.2026" TargetMode = "External"/><Relationship Id="rId11" Type="http://schemas.openxmlformats.org/officeDocument/2006/relationships/hyperlink" Target="https://login.consultant.ru/link/?req=doc&amp;base=LAW&amp;n=495181&amp;date=23.09.2026&amp;dst=2304&amp;field=134" TargetMode = "External"/><Relationship Id="rId12" Type="http://schemas.openxmlformats.org/officeDocument/2006/relationships/hyperlink" Target="https://login.consultant.ru/link/?req=doc&amp;base=LAW&amp;n=495181&amp;date=23.09.2026&amp;dst=12409&amp;field=134" TargetMode = "External"/><Relationship Id="rId13" Type="http://schemas.openxmlformats.org/officeDocument/2006/relationships/hyperlink" Target="www.zakupki.gov.ru" TargetMode = "External"/><Relationship Id="rId14" Type="http://schemas.openxmlformats.org/officeDocument/2006/relationships/hyperlink" Target="https://login.consultant.ru/link/?req=doc&amp;base=LAW&amp;n=495181&amp;date=23.09.2026&amp;dst=2233&amp;field=134" TargetMode = "External"/><Relationship Id="rId15" Type="http://schemas.openxmlformats.org/officeDocument/2006/relationships/hyperlink" Target="https://login.consultant.ru/link/?req=doc&amp;base=LAW&amp;n=495181&amp;date=23.09.2026" TargetMode = "External"/><Relationship Id="rId16" Type="http://schemas.openxmlformats.org/officeDocument/2006/relationships/hyperlink" Target="https://login.consultant.ru/link/?req=doc&amp;base=LAW&amp;n=495181&amp;date=23.09.2026&amp;dst=2246&amp;field=134" TargetMode = "External"/><Relationship Id="rId17" Type="http://schemas.openxmlformats.org/officeDocument/2006/relationships/hyperlink" Target="https://login.consultant.ru/link/?req=doc&amp;base=LAW&amp;n=495181&amp;date=23.09.2026&amp;dst=158&amp;field=134" TargetMode = "External"/><Relationship Id="rId18" Type="http://schemas.openxmlformats.org/officeDocument/2006/relationships/hyperlink" Target="https://login.consultant.ru/link/?req=doc&amp;base=LAW&amp;n=495181&amp;date=23.09.2026&amp;dst=2233&amp;field=134" TargetMode = "External"/><Relationship Id="rId19" Type="http://schemas.openxmlformats.org/officeDocument/2006/relationships/hyperlink" Target="https://login.consultant.ru/link/?req=doc&amp;base=LAW&amp;n=495181&amp;date=23.09.2026&amp;dst=12213&amp;field=134" TargetMode = "External"/><Relationship Id="rId20" Type="http://schemas.openxmlformats.org/officeDocument/2006/relationships/hyperlink" Target="https://login.consultant.ru/link/?req=doc&amp;base=LAW&amp;n=495181&amp;date=23.09.2026&amp;dst=135&amp;field=134" TargetMode = "External"/><Relationship Id="rId21" Type="http://schemas.openxmlformats.org/officeDocument/2006/relationships/hyperlink" Target="https://login.consultant.ru/link/?req=doc&amp;base=LAW&amp;n=495181&amp;date=23.09.2026&amp;dst=2234&amp;field=134" TargetMode = "External"/><Relationship Id="rId22" Type="http://schemas.openxmlformats.org/officeDocument/2006/relationships/hyperlink" Target="https://login.consultant.ru/link/?req=doc&amp;base=LAW&amp;n=495181&amp;date=23.09.2026&amp;dst=12493&amp;field=134" TargetMode = "External"/><Relationship Id="rId23" Type="http://schemas.openxmlformats.org/officeDocument/2006/relationships/hyperlink" Target="https://login.consultant.ru/link/?req=doc&amp;base=PAS&amp;n=1049372&amp;date=23.09.2026" TargetMode = "External"/><Relationship Id="rId24" Type="http://schemas.openxmlformats.org/officeDocument/2006/relationships/hyperlink" Target="https://login.consultant.ru/link/?req=doc&amp;base=MARB&amp;n=3070759&amp;date=23.09.2026" TargetMode = "External"/><Relationship Id="rId25" Type="http://schemas.openxmlformats.org/officeDocument/2006/relationships/hyperlink" Target="https://login.consultant.ru/link/?req=doc&amp;base=AMS&amp;n=585110&amp;date=23.09.2026" TargetMode = "External"/><Relationship Id="rId26" Type="http://schemas.openxmlformats.org/officeDocument/2006/relationships/hyperlink" Target="https://login.consultant.ru/link/?req=doc&amp;base=AMS&amp;n=585110&amp;date=23.09.2026" TargetMode = "External"/><Relationship Id="rId27" Type="http://schemas.openxmlformats.org/officeDocument/2006/relationships/hyperlink" Target="https://login.consultant.ru/link/?req=doc&amp;base=PAS&amp;n=1095412&amp;date=23.09.2026" TargetMode = "External"/><Relationship Id="rId28" Type="http://schemas.openxmlformats.org/officeDocument/2006/relationships/hyperlink" Target="https://login.consultant.ru/link/?req=doc&amp;base=LAW&amp;n=495181&amp;date=23.09.2026&amp;dst=2304&amp;field=134" TargetMode = "External"/><Relationship Id="rId29" Type="http://schemas.openxmlformats.org/officeDocument/2006/relationships/hyperlink" Target="https://login.consultant.ru/link/?req=doc&amp;base=LAW&amp;n=495181&amp;date=23.09.2026&amp;dst=12213&amp;field=134" TargetMode = "External"/><Relationship Id="rId30" Type="http://schemas.openxmlformats.org/officeDocument/2006/relationships/hyperlink" Target="https://login.consultant.ru/link/?req=doc&amp;base=LAW&amp;n=495181&amp;date=23.09.2026&amp;dst=12492&amp;field=134" TargetMode = "External"/><Relationship Id="rId31" Type="http://schemas.openxmlformats.org/officeDocument/2006/relationships/hyperlink" Target="https://login.consultant.ru/link/?req=doc&amp;base=LAW&amp;n=495181&amp;date=23.09.2026&amp;dst=12091&amp;field=134" TargetMode = "External"/><Relationship Id="rId32" Type="http://schemas.openxmlformats.org/officeDocument/2006/relationships/hyperlink" Target="https://login.consultant.ru/link/?req=doc&amp;base=LAW&amp;n=533085&amp;date=23.09.2026&amp;dst=18&amp;field=134" TargetMode = "External"/><Relationship Id="rId33" Type="http://schemas.openxmlformats.org/officeDocument/2006/relationships/hyperlink" Target="https://login.consultant.ru/link/?req=doc&amp;base=LAW&amp;n=533085&amp;date=23.09.2026&amp;dst=100211&amp;field=134" TargetMode = "External"/><Relationship Id="rId34" Type="http://schemas.openxmlformats.org/officeDocument/2006/relationships/hyperlink" Target="https://login.consultant.ru/link/?req=doc&amp;base=LAW&amp;n=533085&amp;date=23.09.2026&amp;dst=100126&amp;field=134" TargetMode = "External"/><Relationship Id="rId35" Type="http://schemas.openxmlformats.org/officeDocument/2006/relationships/hyperlink" Target="https://login.consultant.ru/link/?req=doc&amp;base=LAW&amp;n=533085&amp;date=23.09.2026&amp;dst=100342&amp;field=134" TargetMode = "External"/><Relationship Id="rId36" Type="http://schemas.openxmlformats.org/officeDocument/2006/relationships/hyperlink" Target="https://login.consultant.ru/link/?req=doc&amp;base=LAW&amp;n=533085&amp;date=23.09.2026&amp;dst=100343&amp;field=134" TargetMode = "External"/><Relationship Id="rId37" Type="http://schemas.openxmlformats.org/officeDocument/2006/relationships/hyperlink" Target="https://login.consultant.ru/link/?req=doc&amp;base=LAW&amp;n=533085&amp;date=23.09.2026&amp;dst=100344&amp;field=134" TargetMode = "External"/><Relationship Id="rId38" Type="http://schemas.openxmlformats.org/officeDocument/2006/relationships/hyperlink" Target="https://login.consultant.ru/link/?req=doc&amp;base=LAW&amp;n=533085&amp;date=23.09.2026&amp;dst=100126&amp;field=134" TargetMode = "External"/><Relationship Id="rId39" Type="http://schemas.openxmlformats.org/officeDocument/2006/relationships/hyperlink" Target="https://login.consultant.ru/link/?req=doc&amp;base=LAW&amp;n=533085&amp;date=23.09.2026&amp;dst=100126&amp;field=134" TargetMode = "External"/><Relationship Id="rId40" Type="http://schemas.openxmlformats.org/officeDocument/2006/relationships/hyperlink" Target="https://login.consultant.ru/link/?req=doc&amp;base=PAS&amp;n=1095412&amp;date=23.09.2026" TargetMode = "External"/><Relationship Id="rId41" Type="http://schemas.openxmlformats.org/officeDocument/2006/relationships/hyperlink" Target="https://login.consultant.ru/link/?req=doc&amp;base=LAW&amp;n=495181&amp;date=23.09.2026&amp;dst=100023&amp;field=134" TargetMode = "External"/><Relationship Id="rId42" Type="http://schemas.openxmlformats.org/officeDocument/2006/relationships/hyperlink" Target="https://login.consultant.ru/link/?req=doc&amp;base=LAW&amp;n=495710&amp;date=23.09.2026" TargetMode = "External"/><Relationship Id="rId43" Type="http://schemas.openxmlformats.org/officeDocument/2006/relationships/hyperlink" Target="https://login.consultant.ru/link/?req=doc&amp;base=LAW&amp;n=495710&amp;date=23.09.2026&amp;dst=103108&amp;field=134" TargetMode = "External"/><Relationship Id="rId44" Type="http://schemas.openxmlformats.org/officeDocument/2006/relationships/hyperlink" Target="https://login.consultant.ru/link/?req=doc&amp;base=LAW&amp;n=495710&amp;date=23.09.2026&amp;dst=1350&amp;field=134" TargetMode = "External"/><Relationship Id="rId45" Type="http://schemas.openxmlformats.org/officeDocument/2006/relationships/hyperlink" Target="https://login.consultant.ru/link/?req=doc&amp;base=LAW&amp;n=495710&amp;date=23.09.2026&amp;dst=103428&amp;field=134" TargetMode = "External"/><Relationship Id="rId46" Type="http://schemas.openxmlformats.org/officeDocument/2006/relationships/hyperlink" Target="https://login.consultant.ru/link/?req=doc&amp;base=LAW&amp;n=495710&amp;date=23.09.2026&amp;dst=103108&amp;field=134" TargetMode = "External"/><Relationship Id="rId47" Type="http://schemas.openxmlformats.org/officeDocument/2006/relationships/hyperlink" Target="https://login.consultant.ru/link/?req=doc&amp;base=LAW&amp;n=495181&amp;date=23.09.2026&amp;dst=100092&amp;field=134" TargetMode = "External"/><Relationship Id="rId48" Type="http://schemas.openxmlformats.org/officeDocument/2006/relationships/hyperlink" Target="https://login.consultant.ru/link/?req=doc&amp;base=LAW&amp;n=495181&amp;date=23.09.2026&amp;dst=100098&amp;field=134" TargetMode = "External"/><Relationship Id="rId49" Type="http://schemas.openxmlformats.org/officeDocument/2006/relationships/hyperlink" Target="https://login.consultant.ru/link/?req=doc&amp;base=LAW&amp;n=495181&amp;date=23.09.2026&amp;dst=100098&amp;field=134" TargetMode = "External"/><Relationship Id="rId50" Type="http://schemas.openxmlformats.org/officeDocument/2006/relationships/hyperlink" Target="https://login.consultant.ru/link/?req=doc&amp;base=LAW&amp;n=495181&amp;date=23.09.2026&amp;dst=3050&amp;field=134" TargetMode = "External"/><Relationship Id="rId51" Type="http://schemas.openxmlformats.org/officeDocument/2006/relationships/hyperlink" Target="https://login.consultant.ru/link/?req=doc&amp;base=PAS&amp;n=1029139&amp;date=23.09.2026" TargetMode = "External"/><Relationship Id="rId52" Type="http://schemas.openxmlformats.org/officeDocument/2006/relationships/hyperlink" Target="https://login.consultant.ru/link/?req=doc&amp;base=PAS&amp;n=1077563&amp;date=23.09.2026" TargetMode = "External"/><Relationship Id="rId53" Type="http://schemas.openxmlformats.org/officeDocument/2006/relationships/hyperlink" Target="https://login.consultant.ru/link/?req=doc&amp;base=LAW&amp;n=495181&amp;date=23.09.2026&amp;dst=2304&amp;field=134" TargetMode = "External"/><Relationship Id="rId54" Type="http://schemas.openxmlformats.org/officeDocument/2006/relationships/hyperlink" Target="https://login.consultant.ru/link/?req=doc&amp;base=PAS&amp;n=1030819&amp;date=23.09.2026" TargetMode = "External"/><Relationship Id="rId55" Type="http://schemas.openxmlformats.org/officeDocument/2006/relationships/hyperlink" Target="https://login.consultant.ru/link/?req=doc&amp;base=LAW&amp;n=495181&amp;date=23.09.2026&amp;dst=12451&amp;field=134" TargetMode = "External"/><Relationship Id="rId56" Type="http://schemas.openxmlformats.org/officeDocument/2006/relationships/hyperlink" Target="https://login.consultant.ru/link/?req=doc&amp;base=LAW&amp;n=495181&amp;date=23.09.2026" TargetMode = "External"/><Relationship Id="rId57" Type="http://schemas.openxmlformats.org/officeDocument/2006/relationships/hyperlink" Target="https://login.consultant.ru/link/?req=doc&amp;base=LAW&amp;n=495181&amp;date=23.09.2026&amp;dst=2308&amp;field=134" TargetMode = "External"/><Relationship Id="rId58" Type="http://schemas.openxmlformats.org/officeDocument/2006/relationships/hyperlink" Target="https://login.consultant.ru/link/?req=doc&amp;base=LAW&amp;n=495181&amp;date=23.09.2026" TargetMode = "External"/><Relationship Id="rId59" Type="http://schemas.openxmlformats.org/officeDocument/2006/relationships/hyperlink" Target="https://login.consultant.ru/link/?req=doc&amp;base=LAW&amp;n=495181&amp;date=23.09.2026" TargetMode = "External"/><Relationship Id="rId60" Type="http://schemas.openxmlformats.org/officeDocument/2006/relationships/hyperlink" Target="https://login.consultant.ru/link/?req=doc&amp;base=LAW&amp;n=495181&amp;date=23.09.2026" TargetMode = "External"/><Relationship Id="rId61" Type="http://schemas.openxmlformats.org/officeDocument/2006/relationships/hyperlink" Target="https://login.consultant.ru/link/?req=doc&amp;base=PAS&amp;n=1030819&amp;date=23.09.2026" TargetMode = "External"/><Relationship Id="rId62" Type="http://schemas.openxmlformats.org/officeDocument/2006/relationships/hyperlink" Target="https://login.consultant.ru/link/?req=doc&amp;base=RAPS019&amp;n=157251&amp;date=23.09.2026" TargetMode = "External"/><Relationship Id="rId63" Type="http://schemas.openxmlformats.org/officeDocument/2006/relationships/hyperlink" Target="https://login.consultant.ru/link/?req=doc&amp;base=ACN&amp;n=168087&amp;date=23.09.2026" TargetMode = "External"/><Relationship Id="rId64" Type="http://schemas.openxmlformats.org/officeDocument/2006/relationships/hyperlink" Target="https://login.consultant.ru/link/?req=doc&amp;base=ACN&amp;n=168087&amp;date=23.09.2026" TargetMode = "External"/><Relationship Id="rId65" Type="http://schemas.openxmlformats.org/officeDocument/2006/relationships/hyperlink" Target="https://login.consultant.ru/link/?req=doc&amp;base=LAW&amp;n=495181&amp;date=23.09.2026" TargetMode = "External"/><Relationship Id="rId66" Type="http://schemas.openxmlformats.org/officeDocument/2006/relationships/hyperlink" Target="https://login.consultant.ru/link/?req=doc&amp;base=PAS&amp;n=1105020&amp;date=23.09.2026" TargetMode = "External"/><Relationship Id="rId67" Type="http://schemas.openxmlformats.org/officeDocument/2006/relationships/hyperlink" Target="https://login.consultant.ru/link/?req=doc&amp;base=LAW&amp;n=495181&amp;date=23.09.2026&amp;dst=2256&amp;field=134" TargetMode = "External"/><Relationship Id="rId68" Type="http://schemas.openxmlformats.org/officeDocument/2006/relationships/hyperlink" Target="https://login.consultant.ru/link/?req=doc&amp;base=PAS&amp;n=1105021&amp;date=23.09.2026" TargetMode = "External"/><Relationship Id="rId69" Type="http://schemas.openxmlformats.org/officeDocument/2006/relationships/hyperlink" Target="https://login.consultant.ru/link/?req=doc&amp;base=LAW&amp;n=495181&amp;date=23.09.2026&amp;dst=2256&amp;field=134" TargetMode = "External"/><Relationship Id="rId70" Type="http://schemas.openxmlformats.org/officeDocument/2006/relationships/hyperlink" Target="https://login.consultant.ru/link/?req=doc&amp;base=LAW&amp;n=495181&amp;date=23.09.2026&amp;dst=2255&amp;field=134" TargetMode = "External"/><Relationship Id="rId71" Type="http://schemas.openxmlformats.org/officeDocument/2006/relationships/hyperlink" Target="https://login.consultant.ru/link/?req=doc&amp;base=LAW&amp;n=495181&amp;date=23.09.2026&amp;dst=2255&amp;field=134" TargetMode = "External"/><Relationship Id="rId72" Type="http://schemas.openxmlformats.org/officeDocument/2006/relationships/hyperlink" Target="https://login.consultant.ru/link/?req=doc&amp;base=LAW&amp;n=495181&amp;date=23.09.2026&amp;dst=2258&amp;field=134" TargetMode = "External"/><Relationship Id="rId73" Type="http://schemas.openxmlformats.org/officeDocument/2006/relationships/hyperlink" Target="https://login.consultant.ru/link/?req=doc&amp;base=PAS&amp;n=1105020&amp;date=23.09.2026" TargetMode = "External"/><Relationship Id="rId74" Type="http://schemas.openxmlformats.org/officeDocument/2006/relationships/hyperlink" Target="https://login.consultant.ru/link/?req=doc&amp;base=PAS&amp;n=1105021&amp;date=23.09.2026" TargetMode = "External"/><Relationship Id="rId75" Type="http://schemas.openxmlformats.org/officeDocument/2006/relationships/hyperlink" Target="https://login.consultant.ru/link/?req=doc&amp;base=LAW&amp;n=508490&amp;date=23.09.2026&amp;dst=101922&amp;field=134" TargetMode = "External"/><Relationship Id="rId76" Type="http://schemas.openxmlformats.org/officeDocument/2006/relationships/hyperlink" Target="https://login.consultant.ru/link/?req=doc&amp;base=LAW&amp;n=388271&amp;date=23.09.2026&amp;dst=100026&amp;field=134" TargetMode = "External"/><Relationship Id="rId77" Type="http://schemas.openxmlformats.org/officeDocument/2006/relationships/hyperlink" Target="https://login.consultant.ru/link/?req=doc&amp;base=ARB&amp;n=289442&amp;date=23.09.2026" TargetMode = "External"/><Relationship Id="rId78" Type="http://schemas.openxmlformats.org/officeDocument/2006/relationships/hyperlink" Target="https://login.consultant.ru/link/?req=doc&amp;base=LAW&amp;n=495181&amp;date=23.09.2026&amp;dst=2256&amp;field=134" TargetMode = "External"/><Relationship Id="rId79" Type="http://schemas.openxmlformats.org/officeDocument/2006/relationships/hyperlink" Target="https://login.consultant.ru/link/?req=doc&amp;base=PAS&amp;n=1157729&amp;date=23.09.2026" TargetMode = "External"/><Relationship Id="rId80" Type="http://schemas.openxmlformats.org/officeDocument/2006/relationships/hyperlink" Target="https://login.consultant.ru/link/?req=doc&amp;base=PAS&amp;n=1173900&amp;date=23.09.2026" TargetMode = "External"/><Relationship Id="rId81" Type="http://schemas.openxmlformats.org/officeDocument/2006/relationships/hyperlink" Target="https://login.consultant.ru/link/?req=doc&amp;base=PAS&amp;n=1157731&amp;date=23.09.2026" TargetMode = "External"/><Relationship Id="rId82" Type="http://schemas.openxmlformats.org/officeDocument/2006/relationships/hyperlink" Target="https://login.consultant.ru/link/?req=doc&amp;base=PAS&amp;n=1116539&amp;date=23.09.2026" TargetMode = "External"/><Relationship Id="rId83" Type="http://schemas.openxmlformats.org/officeDocument/2006/relationships/hyperlink" Target="https://login.consultant.ru/link/?req=doc&amp;base=PAS&amp;n=1157727&amp;date=23.09.2026" TargetMode = "External"/><Relationship Id="rId84" Type="http://schemas.openxmlformats.org/officeDocument/2006/relationships/hyperlink" Target="https://login.consultant.ru/link/?req=doc&amp;base=PAS&amp;n=1157725&amp;date=23.09.2026" TargetMode = "External"/><Relationship Id="rId85" Type="http://schemas.openxmlformats.org/officeDocument/2006/relationships/hyperlink" Target="https://login.consultant.ru/link/?req=doc&amp;base=PAS&amp;n=1157723&amp;date=23.09.2026" TargetMode = "External"/><Relationship Id="rId86" Type="http://schemas.openxmlformats.org/officeDocument/2006/relationships/hyperlink" Target="https://login.consultant.ru/link/?req=doc&amp;base=PAS&amp;n=1114053&amp;date=23.09.2026" TargetMode = "External"/><Relationship Id="rId87" Type="http://schemas.openxmlformats.org/officeDocument/2006/relationships/hyperlink" Target="https://login.consultant.ru/link/?req=doc&amp;base=PAS&amp;n=1157721&amp;date=23.09.2026" TargetMode = "External"/><Relationship Id="rId88" Type="http://schemas.openxmlformats.org/officeDocument/2006/relationships/hyperlink" Target="https://login.consultant.ru/link/?req=doc&amp;base=LAW&amp;n=495181&amp;date=23.09.2026&amp;dst=12451&amp;field=134" TargetMode = "External"/><Relationship Id="rId89" Type="http://schemas.openxmlformats.org/officeDocument/2006/relationships/hyperlink" Target="https://login.consultant.ru/link/?req=doc&amp;base=LAW&amp;n=495181&amp;date=23.09.2026&amp;dst=2213&amp;field=134" TargetMode = "External"/><Relationship Id="rId90" Type="http://schemas.openxmlformats.org/officeDocument/2006/relationships/hyperlink" Target="https://login.consultant.ru/link/?req=doc&amp;base=LAW&amp;n=495181&amp;date=23.09.2026&amp;dst=12218&amp;field=134" TargetMode = "External"/><Relationship Id="rId91" Type="http://schemas.openxmlformats.org/officeDocument/2006/relationships/hyperlink" Target="https://login.consultant.ru/link/?req=doc&amp;base=LAW&amp;n=495181&amp;date=23.09.2026&amp;dst=12219&amp;field=134" TargetMode = "External"/><Relationship Id="rId92" Type="http://schemas.openxmlformats.org/officeDocument/2006/relationships/hyperlink" Target="https://login.consultant.ru/link/?req=doc&amp;base=LAW&amp;n=495181&amp;date=23.09.2026&amp;dst=101275&amp;field=134" TargetMode = "External"/><Relationship Id="rId93" Type="http://schemas.openxmlformats.org/officeDocument/2006/relationships/hyperlink" Target="https://login.consultant.ru/link/?req=doc&amp;base=LAW&amp;n=495181&amp;date=23.09.2026&amp;dst=2924&amp;field=134" TargetMode = "External"/><Relationship Id="rId94" Type="http://schemas.openxmlformats.org/officeDocument/2006/relationships/hyperlink" Target="https://login.consultant.ru/link/?req=doc&amp;base=LAW&amp;n=495181&amp;date=23.09.2026&amp;dst=1086&amp;field=134" TargetMode = "External"/><Relationship Id="rId95" Type="http://schemas.openxmlformats.org/officeDocument/2006/relationships/hyperlink" Target="https://login.consultant.ru/link/?req=doc&amp;base=LAW&amp;n=495181&amp;date=23.09.2026&amp;dst=1993&amp;field=134" TargetMode = "External"/><Relationship Id="rId96" Type="http://schemas.openxmlformats.org/officeDocument/2006/relationships/hyperlink" Target="https://login.consultant.ru/link/?req=doc&amp;base=LAW&amp;n=495181&amp;date=23.09.2026&amp;dst=1316&amp;field=134" TargetMode = "External"/><Relationship Id="rId97" Type="http://schemas.openxmlformats.org/officeDocument/2006/relationships/hyperlink" Target="https://login.consultant.ru/link/?req=doc&amp;base=LAW&amp;n=495181&amp;date=23.09.2026&amp;dst=12276&amp;field=134" TargetMode = "External"/><Relationship Id="rId98" Type="http://schemas.openxmlformats.org/officeDocument/2006/relationships/hyperlink" Target="https://login.consultant.ru/link/?req=doc&amp;base=LAW&amp;n=511708&amp;date=23.09.2026&amp;dst=1171&amp;field=134" TargetMode = "External"/><Relationship Id="rId99" Type="http://schemas.openxmlformats.org/officeDocument/2006/relationships/hyperlink" Target="https://login.consultant.ru/link/?req=doc&amp;base=LAW&amp;n=511708&amp;date=23.09.2026" TargetMode = "External"/><Relationship Id="rId100" Type="http://schemas.openxmlformats.org/officeDocument/2006/relationships/hyperlink" Target="https://login.consultant.ru/link/?req=doc&amp;base=LAW&amp;n=511708&amp;date=23.09.2026&amp;dst=1436&amp;field=134" TargetMode = "External"/><Relationship Id="rId101" Type="http://schemas.openxmlformats.org/officeDocument/2006/relationships/hyperlink" Target="https://login.consultant.ru/link/?req=doc&amp;base=LAW&amp;n=511708&amp;date=23.09.2026&amp;dst=154&amp;field=134" TargetMode = "External"/><Relationship Id="rId102" Type="http://schemas.openxmlformats.org/officeDocument/2006/relationships/hyperlink" Target="https://login.consultant.ru/link/?req=doc&amp;base=LAW&amp;n=495181&amp;date=23.09.2026&amp;dst=100336&amp;field=134" TargetMode = "External"/><Relationship Id="rId103" Type="http://schemas.openxmlformats.org/officeDocument/2006/relationships/hyperlink" Target="https://login.consultant.ru/link/?req=doc&amp;base=LAW&amp;n=495181&amp;date=23.09.2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4026.00.30</Application>
  <Company>КонсультантПлюс Версия 4026.00.30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судебной практики в сфере закупок для государственных и муниципальных нужд (май 2026 года)"
(Управление контроля размещения государственного заказа ФАС России)
(Подготовлен для системы КонсультантПлюс, 2026)</dc:title>
  <dcterms:created xsi:type="dcterms:W3CDTF">2026-09-23T06:21:13Z</dcterms:created>
</cp:coreProperties>
</file>