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2"/>
              </w:rPr>
              <w:t xml:space="preserve">"Обзор практики рассмотрения жалоб на действия (бездействие) заказчика, уполномоченного органа (учреждения), специализированной организации, комиссии по осуществлению закупок, должностного лица контрактной службы, контрактного управляющего, оператора электронной площадки при проведении закупок в соответствии с положениями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(май 2026 года)"</w:t>
              <w:br/>
              <w:t xml:space="preserve">(Управление контроля размещения государственного заказа ФАС России)</w:t>
              <w:br/>
              <w:t xml:space="preserve">(Подготовлен для системы КонсультантПлюс, 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23.09.2026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right"/>
            </w:pPr>
            <w:r>
              <w:rPr>
                <w:sz w:val="24"/>
                <w:color w:val="392c69"/>
              </w:rPr>
              <w:t xml:space="preserve">Подготовлен для системы КонсультантПлюс</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jc w:val="center"/>
      </w:pPr>
      <w:r>
        <w:rPr>
          <w:sz w:val="24"/>
        </w:rPr>
        <w:t xml:space="preserve">ОБЗОР ПРАКТИКИ РАССМОТРЕНИЯ ЖАЛОБ НА ДЕЙСТВИЯ (БЕЗДЕЙСТВИЕ)</w:t>
      </w:r>
    </w:p>
    <w:p>
      <w:pPr>
        <w:pStyle w:val="2"/>
        <w:jc w:val="center"/>
      </w:pPr>
      <w:r>
        <w:rPr>
          <w:sz w:val="24"/>
        </w:rPr>
        <w:t xml:space="preserve">ЗАКАЗЧИКА, УПОЛНОМОЧЕННОГО ОРГАНА (УЧРЕЖДЕНИЯ),</w:t>
      </w:r>
    </w:p>
    <w:p>
      <w:pPr>
        <w:pStyle w:val="2"/>
        <w:jc w:val="center"/>
      </w:pPr>
      <w:r>
        <w:rPr>
          <w:sz w:val="24"/>
        </w:rPr>
        <w:t xml:space="preserve">СПЕЦИАЛИЗИРОВАННОЙ ОРГАНИЗАЦИИ, КОМИССИИ ПО ОСУЩЕСТВЛЕНИЮ</w:t>
      </w:r>
    </w:p>
    <w:p>
      <w:pPr>
        <w:pStyle w:val="2"/>
        <w:jc w:val="center"/>
      </w:pPr>
      <w:r>
        <w:rPr>
          <w:sz w:val="24"/>
        </w:rPr>
        <w:t xml:space="preserve">ЗАКУПОК, ДОЛЖНОСТНОГО ЛИЦА КОНТРАКТНОЙ СЛУЖБЫ, КОНТРАКТНОГО</w:t>
      </w:r>
    </w:p>
    <w:p>
      <w:pPr>
        <w:pStyle w:val="2"/>
        <w:jc w:val="center"/>
      </w:pPr>
      <w:r>
        <w:rPr>
          <w:sz w:val="24"/>
        </w:rPr>
        <w:t xml:space="preserve">УПРАВЛЯЮЩЕГО, ОПЕРАТОРА ЭЛЕКТРОННОЙ ПЛОЩАДКИ</w:t>
      </w:r>
    </w:p>
    <w:p>
      <w:pPr>
        <w:pStyle w:val="2"/>
        <w:jc w:val="center"/>
      </w:pPr>
      <w:r>
        <w:rPr>
          <w:sz w:val="24"/>
        </w:rPr>
        <w:t xml:space="preserve">ПРИ ПРОВЕДЕНИИ ЗАКУПОК В СООТВЕТСТВИИ С ПОЛОЖЕНИЯМИ</w:t>
      </w:r>
    </w:p>
    <w:p>
      <w:pPr>
        <w:pStyle w:val="2"/>
        <w:jc w:val="center"/>
      </w:pPr>
      <w:r>
        <w:rPr>
          <w:sz w:val="24"/>
        </w:rPr>
        <w:t xml:space="preserve">ФЕДЕРАЛЬНОГО </w:t>
      </w:r>
      <w:hyperlink w:history="0" r:id="rId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ЗАКОНА</w:t>
        </w:r>
      </w:hyperlink>
      <w:r>
        <w:rPr>
          <w:sz w:val="24"/>
        </w:rPr>
        <w:t xml:space="preserve"> ОТ 5 АПРЕЛЯ 2013 ГОДА N 44-ФЗ</w:t>
      </w:r>
    </w:p>
    <w:p>
      <w:pPr>
        <w:pStyle w:val="2"/>
        <w:jc w:val="center"/>
      </w:pPr>
      <w:r>
        <w:rPr>
          <w:sz w:val="24"/>
        </w:rPr>
        <w:t xml:space="preserve">"О КОНТРАКТНОЙ СИСТЕМЕ В СФЕРЕ ЗАКУПОК ТОВАРОВ, РАБОТ,</w:t>
      </w:r>
    </w:p>
    <w:p>
      <w:pPr>
        <w:pStyle w:val="2"/>
        <w:jc w:val="center"/>
      </w:pPr>
      <w:r>
        <w:rPr>
          <w:sz w:val="24"/>
        </w:rPr>
        <w:t xml:space="preserve">УСЛУГ ДЛЯ ОБЕСПЕЧЕНИЯ ГОСУДАРСТВЕННЫХ И МУНИЦИПАЛЬНЫХ НУЖД"</w:t>
      </w:r>
    </w:p>
    <w:p>
      <w:pPr>
        <w:pStyle w:val="2"/>
        <w:jc w:val="center"/>
      </w:pPr>
      <w:r>
        <w:rPr>
          <w:sz w:val="24"/>
        </w:rPr>
        <w:t xml:space="preserve">(МАЙ 2026 ГОДА)</w:t>
      </w:r>
    </w:p>
    <w:p>
      <w:pPr>
        <w:pStyle w:val="0"/>
        <w:ind w:firstLine="540"/>
        <w:jc w:val="both"/>
      </w:pPr>
      <w:r>
        <w:rPr>
          <w:sz w:val="24"/>
        </w:rPr>
      </w:r>
    </w:p>
    <w:p>
      <w:pPr>
        <w:pStyle w:val="0"/>
        <w:jc w:val="center"/>
      </w:pPr>
      <w:r>
        <w:rPr>
          <w:sz w:val="24"/>
        </w:rPr>
        <w:t xml:space="preserve">Материал подготовлен с использованием правовых актов</w:t>
      </w:r>
    </w:p>
    <w:p>
      <w:pPr>
        <w:pStyle w:val="0"/>
        <w:jc w:val="center"/>
      </w:pPr>
      <w:r>
        <w:rPr>
          <w:sz w:val="24"/>
        </w:rPr>
        <w:t xml:space="preserve">по состоянию на 31 мая 2026 года</w:t>
      </w:r>
    </w:p>
    <w:p>
      <w:pPr>
        <w:pStyle w:val="0"/>
        <w:ind w:firstLine="540"/>
        <w:jc w:val="both"/>
      </w:pPr>
      <w:r>
        <w:rPr>
          <w:sz w:val="24"/>
        </w:rPr>
      </w:r>
    </w:p>
    <w:p>
      <w:pPr>
        <w:pStyle w:val="2"/>
        <w:outlineLvl w:val="0"/>
        <w:ind w:firstLine="540"/>
        <w:jc w:val="both"/>
      </w:pPr>
      <w:r>
        <w:rPr>
          <w:sz w:val="24"/>
        </w:rPr>
        <w:t xml:space="preserve">1. Заказчик не вправе устанавливать в описании объекта закупки требование о поставке оригинальных расходных материалов с указанием на товарный знак без возможности поставки эквивалента без достаточного документального обоснования, подтверждающего нахождение соответствующего оборудования, например, на гарантийном обслуживании.</w:t>
      </w:r>
    </w:p>
    <w:p>
      <w:pPr>
        <w:pStyle w:val="0"/>
        <w:ind w:firstLine="540"/>
        <w:jc w:val="both"/>
      </w:pPr>
      <w:r>
        <w:rPr>
          <w:sz w:val="24"/>
        </w:rPr>
      </w:r>
    </w:p>
    <w:p>
      <w:pPr>
        <w:pStyle w:val="0"/>
        <w:ind w:firstLine="540"/>
        <w:jc w:val="both"/>
      </w:pPr>
      <w:r>
        <w:rPr>
          <w:sz w:val="24"/>
        </w:rPr>
        <w:t xml:space="preserve">В ФАС России поступила жалоба ООО "Квазар" (далее - Заявитель) на действия Минздрава России (далее - Заказчик) при проведении Заказчиком, комиссией по осуществлению закупок Заказчика, АО "ЕЭТП" электронного аукциона (далее - Аукцион).</w:t>
      </w:r>
    </w:p>
    <w:p>
      <w:pPr>
        <w:pStyle w:val="0"/>
        <w:spacing w:before="240" w:lineRule="auto"/>
        <w:ind w:firstLine="540"/>
        <w:jc w:val="both"/>
      </w:pPr>
      <w:r>
        <w:rPr>
          <w:sz w:val="24"/>
        </w:rPr>
        <w:t xml:space="preserve">По мнению Заявителя, его права и законные интересы нарушены действиями Заказчика, неправомерно установившего в описании объекта закупки извещения о проведении Аукциона (далее - Описание объекта закупки, Извещение) требование к поставке товара конкретного производителя с указанием на товарный знак без возможности поставки эквивалентной продукции, что ограничивает количество участников закупки.</w:t>
      </w:r>
    </w:p>
    <w:p>
      <w:pPr>
        <w:pStyle w:val="0"/>
        <w:spacing w:before="240" w:lineRule="auto"/>
        <w:ind w:firstLine="540"/>
        <w:jc w:val="both"/>
      </w:pPr>
      <w:r>
        <w:rPr>
          <w:sz w:val="24"/>
        </w:rPr>
        <w:t xml:space="preserve">В соответствии с </w:t>
      </w:r>
      <w:hyperlink w:history="0" r:id="rId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пунктом 1 части 2 статьи 42</w:t>
        </w:r>
      </w:hyperlink>
      <w:r>
        <w:rPr>
          <w:sz w:val="24"/>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извещение об осуществлении закупки, если иное не предусмотрено </w:t>
      </w:r>
      <w:hyperlink w:history="0" r:id="rId1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Законом</w:t>
        </w:r>
      </w:hyperlink>
      <w:r>
        <w:rPr>
          <w:sz w:val="24"/>
        </w:rPr>
        <w:t xml:space="preserve"> о контрактной системе, должно содержать описание объекта закупки в соответствии со </w:t>
      </w:r>
      <w:hyperlink w:history="0" r:id="rId1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статьей 33</w:t>
        </w:r>
      </w:hyperlink>
      <w:r>
        <w:rPr>
          <w:sz w:val="24"/>
        </w:rPr>
        <w:t xml:space="preserve"> Закона о контрактной системе.</w:t>
      </w:r>
    </w:p>
    <w:p>
      <w:pPr>
        <w:pStyle w:val="0"/>
        <w:spacing w:before="240" w:lineRule="auto"/>
        <w:ind w:firstLine="540"/>
        <w:jc w:val="both"/>
      </w:pPr>
      <w:r>
        <w:rPr>
          <w:sz w:val="24"/>
        </w:rPr>
        <w:t xml:space="preserve">В силу положений </w:t>
      </w:r>
      <w:hyperlink w:history="0" r:id="rId1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пункта 1 части 1 статьи 33</w:t>
        </w:r>
      </w:hyperlink>
      <w:r>
        <w:rPr>
          <w:sz w:val="24"/>
        </w:rPr>
        <w:t xml:space="preserve"> Закона о контрактной системе допускается использование в описании объекта закупки указания на товарный знак при условии сопровождения такого указания словами </w:t>
      </w:r>
      <w:r>
        <w:rPr>
          <w:sz w:val="24"/>
          <w:i w:val="on"/>
        </w:rPr>
        <w:t xml:space="preserve">"или эквивалент"</w:t>
      </w:r>
      <w:r>
        <w:rPr>
          <w:sz w:val="24"/>
        </w:rPr>
        <w:t xml:space="preserve"> либо при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в случае осуществления закупки запасных частей и расходных материалов к машинам и оборудованию, используемым заказчиком, </w:t>
      </w:r>
      <w:r>
        <w:rPr>
          <w:sz w:val="24"/>
          <w:i w:val="on"/>
        </w:rPr>
        <w:t xml:space="preserve">в соответствии с технической документацией на указанные машины и оборудование</w:t>
      </w:r>
      <w:r>
        <w:rPr>
          <w:sz w:val="24"/>
        </w:rPr>
        <w:t xml:space="preserve">.</w:t>
      </w:r>
    </w:p>
    <w:p>
      <w:pPr>
        <w:pStyle w:val="0"/>
        <w:spacing w:before="240" w:lineRule="auto"/>
        <w:ind w:firstLine="540"/>
        <w:jc w:val="both"/>
      </w:pPr>
      <w:r>
        <w:rPr>
          <w:sz w:val="24"/>
        </w:rPr>
        <w:t xml:space="preserve">Согласно Извещению объектом закупки является поставка расходных материалов для копировально-множительной техники центрального аппарата Министерства здравоохранения Российской Федерации субъектами малого предпринимательства, социально ориентированными некоммерческими организациями. Описание объекта закупки предусматривает поставку картриджей, блоков фотобарабанов, принт-картриджей, краски, мастер-пленки, боксов для сбора тонера, модулей ксерографии для электрографических печатающих устройств "Xerox", "Riso", "Катюша", "Canon", "Sharp", "Evolis Primacy", "HP", "Ricoh".</w:t>
      </w:r>
    </w:p>
    <w:p>
      <w:pPr>
        <w:pStyle w:val="0"/>
        <w:spacing w:before="240" w:lineRule="auto"/>
        <w:ind w:firstLine="540"/>
        <w:jc w:val="both"/>
      </w:pPr>
      <w:r>
        <w:rPr>
          <w:sz w:val="24"/>
        </w:rPr>
        <w:t xml:space="preserve">Комиссией ФАС России по контролю в сфере закупок (далее - Комиссия ФАС России) установлено, что в отношении части товаров объекта закупки поставке подлежат только оригинальные расходные материалы под торговыми марками производителей офисной техники "Xerox", "Riso", "Катюша", "Canon", "Sharp", "Evolis Primacy", "HP", "Ricoh" на основании </w:t>
      </w:r>
      <w:hyperlink w:history="0" r:id="rId1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пункта 1 части 1 статьи 33</w:t>
        </w:r>
      </w:hyperlink>
      <w:r>
        <w:rPr>
          <w:sz w:val="24"/>
        </w:rPr>
        <w:t xml:space="preserve"> Закона о контрактной системе (далее - Товары).</w:t>
      </w:r>
    </w:p>
    <w:p>
      <w:pPr>
        <w:pStyle w:val="0"/>
        <w:spacing w:before="240" w:lineRule="auto"/>
        <w:ind w:firstLine="540"/>
        <w:jc w:val="both"/>
      </w:pPr>
      <w:r>
        <w:rPr>
          <w:sz w:val="24"/>
        </w:rPr>
        <w:t xml:space="preserve">Представитель Заказчика на заседании Комиссии ФАС России пояснил, что Товары, на которые установлено требование о поставке оригинальной продукции, закупаются в качестве расходного материала для многофункциональных устройств компаний "Xerox", "Riso", "Катюша", "Canon", "Sharp", "Evolis Primacy", "HP", "Ricoh", в связи с чем поставка неоригинальной совместимой продукции не допускается, поскольку такая продукция может привести к неисправной работе имеющегося у Заказчика оборудования.</w:t>
      </w:r>
    </w:p>
    <w:p>
      <w:pPr>
        <w:pStyle w:val="0"/>
        <w:spacing w:before="240" w:lineRule="auto"/>
        <w:ind w:firstLine="540"/>
        <w:jc w:val="both"/>
      </w:pPr>
      <w:r>
        <w:rPr>
          <w:sz w:val="24"/>
        </w:rPr>
        <w:t xml:space="preserve">На заседание Комиссии ФАС России представитель Заказчика представил сведения, согласно которым оборудование торговых марок "Катюша", "Canon", "Sharp", "Ricoh", "Pantum" находится на гарантийном обслуживании, в связи с чем поставка неоригинальной совместимой продукции не допускается.</w:t>
      </w:r>
    </w:p>
    <w:p>
      <w:pPr>
        <w:pStyle w:val="0"/>
        <w:spacing w:before="240" w:lineRule="auto"/>
        <w:ind w:firstLine="540"/>
        <w:jc w:val="both"/>
      </w:pPr>
      <w:r>
        <w:rPr>
          <w:sz w:val="24"/>
        </w:rPr>
        <w:t xml:space="preserve">Так, представителем Заказчика представлены копии государственных контрактов, подтверждающих нахождение многофункциональных устройств компаний "Катюша", "Canon", "Sharp", "Ricoh", "Pantum" на гарантийном обслуживании.</w:t>
      </w:r>
    </w:p>
    <w:p>
      <w:pPr>
        <w:pStyle w:val="0"/>
        <w:spacing w:before="240" w:lineRule="auto"/>
        <w:ind w:firstLine="540"/>
        <w:jc w:val="both"/>
      </w:pPr>
      <w:r>
        <w:rPr>
          <w:sz w:val="24"/>
        </w:rPr>
        <w:t xml:space="preserve">Вместе с тем представителем Заказчика на заседании Комиссии ФАС России не представлены документы и сведения, подтверждающие, что многофункциональные устройства марок "Evolis Primacy", "HP", "Riso" и "Xerox", для эксплуатации которых приобретаются Товары, находятся на гарантийном обслуживании, либо иные обоснования необходимости использования исключительно оригинальных расходных материалов в указанных целях.</w:t>
      </w:r>
    </w:p>
    <w:p>
      <w:pPr>
        <w:pStyle w:val="0"/>
        <w:spacing w:before="240" w:lineRule="auto"/>
        <w:ind w:firstLine="540"/>
        <w:jc w:val="both"/>
      </w:pPr>
      <w:r>
        <w:rPr>
          <w:sz w:val="24"/>
        </w:rPr>
        <w:t xml:space="preserve">Учитывая изложенное, Комиссия ФАС России пришла к выводу, что действия Заказчика, установившего в Описании объекта закупки требование о поставке оригинальных Товаров с указанием на товарный знак без возможности поставки эквивалента для многофункциональных устройств компаний "Evolis Primacy", "HP", "Riso" и "Xerox", нарушают </w:t>
      </w:r>
      <w:hyperlink w:history="0" r:id="rId1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 1 части 2 статьи 42</w:t>
        </w:r>
      </w:hyperlink>
      <w:r>
        <w:rPr>
          <w:sz w:val="24"/>
        </w:rPr>
        <w:t xml:space="preserve"> Закона о контрактной системе и содержат признаки состава административного правонарушения, ответственность за совершение которого предусмотрена </w:t>
      </w:r>
      <w:hyperlink w:history="0" r:id="rId15"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частью 6 статьи 7.30.1</w:t>
        </w:r>
      </w:hyperlink>
      <w:r>
        <w:rPr>
          <w:sz w:val="24"/>
        </w:rPr>
        <w:t xml:space="preserve"> Кодекса Российской Федерации об административных правонарушениях.</w:t>
      </w:r>
    </w:p>
    <w:p>
      <w:pPr>
        <w:pStyle w:val="0"/>
        <w:spacing w:before="240" w:lineRule="auto"/>
        <w:ind w:firstLine="540"/>
        <w:jc w:val="both"/>
      </w:pPr>
      <w:r>
        <w:rPr>
          <w:sz w:val="24"/>
        </w:rPr>
        <w:t xml:space="preserve">(</w:t>
      </w:r>
      <w:hyperlink w:history="0" r:id="rId16" w:tooltip="Ссылка на КонсультантПлюс">
        <w:r>
          <w:rPr>
            <w:sz w:val="24"/>
            <w:color w:val="0000ff"/>
          </w:rPr>
          <w:t xml:space="preserve">Решение</w:t>
        </w:r>
      </w:hyperlink>
      <w:r>
        <w:rPr>
          <w:sz w:val="24"/>
        </w:rPr>
        <w:t xml:space="preserve"> ФАС России от 06.05.2026 по делу N 28/06/105-1564/2026, </w:t>
      </w:r>
      <w:hyperlink w:history="0" r:id="rId17" w:tooltip="Ссылка на КонсультантПлюс">
        <w:r>
          <w:rPr>
            <w:sz w:val="24"/>
            <w:color w:val="0000ff"/>
          </w:rPr>
          <w:t xml:space="preserve">предписание</w:t>
        </w:r>
      </w:hyperlink>
      <w:r>
        <w:rPr>
          <w:sz w:val="24"/>
        </w:rPr>
        <w:t xml:space="preserve"> ФАС России от 06.05.2026 по делу N 28/06/105-1564/2026)</w:t>
      </w:r>
    </w:p>
    <w:p>
      <w:pPr>
        <w:pStyle w:val="0"/>
        <w:ind w:firstLine="540"/>
        <w:jc w:val="both"/>
      </w:pPr>
      <w:r>
        <w:rPr>
          <w:sz w:val="24"/>
        </w:rPr>
      </w:r>
    </w:p>
    <w:p>
      <w:pPr>
        <w:pStyle w:val="2"/>
        <w:outlineLvl w:val="0"/>
        <w:ind w:firstLine="540"/>
        <w:jc w:val="both"/>
      </w:pPr>
      <w:r>
        <w:rPr>
          <w:sz w:val="24"/>
        </w:rPr>
        <w:t xml:space="preserve">2. Включение в проект контракта положений, предусматривающих обязанность подрядчика в приоритетном порядке закупать товары и привлекать субподрядчиков, зарегистрированных на территории определенного субъекта Российской Федерации, не соответствует требованиям </w:t>
      </w:r>
      <w:hyperlink w:history="0" r:id="rId1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Закона</w:t>
        </w:r>
      </w:hyperlink>
      <w:r>
        <w:rPr>
          <w:sz w:val="24"/>
        </w:rPr>
        <w:t xml:space="preserve"> о контрактной системе и может повлечь невозможность исполнения контракта.</w:t>
      </w:r>
    </w:p>
    <w:p>
      <w:pPr>
        <w:pStyle w:val="0"/>
        <w:ind w:firstLine="540"/>
        <w:jc w:val="both"/>
      </w:pPr>
      <w:r>
        <w:rPr>
          <w:sz w:val="24"/>
        </w:rPr>
      </w:r>
    </w:p>
    <w:p>
      <w:pPr>
        <w:pStyle w:val="0"/>
        <w:ind w:firstLine="540"/>
        <w:jc w:val="both"/>
      </w:pPr>
      <w:r>
        <w:rPr>
          <w:sz w:val="24"/>
        </w:rPr>
        <w:t xml:space="preserve">В ФАС России поступила жалоба АО "МЕЛИОСТРОЙ" (далее - Заявитель) на действия Краевого государственного бюджетного учреждения "Управление автомобильных дорог и транспорта" Пермского края (далее - Заказчик), Государственного казенного учреждения Пермского края "Центр организации закупок" (далее - Уполномоченный орган) при проведении Заказчиком, Уполномоченным органом, комиссией по осуществлению закупок Уполномоченного органа, АО "ЭТС" открытого конкурса в электронной форме (далее - Конкурс).</w:t>
      </w:r>
    </w:p>
    <w:p>
      <w:pPr>
        <w:pStyle w:val="0"/>
        <w:spacing w:before="240" w:lineRule="auto"/>
        <w:ind w:firstLine="540"/>
        <w:jc w:val="both"/>
      </w:pPr>
      <w:r>
        <w:rPr>
          <w:sz w:val="24"/>
        </w:rPr>
        <w:t xml:space="preserve">По мнению Заявителя, его права и законные интересы нарушены действиями Заказчика, Уполномоченного органа, установивших в проекте контракта извещения о проведении Конкурса (далее - Проект контракта) требования, противоречащие положениям </w:t>
      </w:r>
      <w:hyperlink w:history="0" r:id="rId1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Закона</w:t>
        </w:r>
      </w:hyperlink>
      <w:r>
        <w:rPr>
          <w:sz w:val="24"/>
        </w:rPr>
        <w:t xml:space="preserve"> о контрактной системе.</w:t>
      </w:r>
    </w:p>
    <w:p>
      <w:pPr>
        <w:pStyle w:val="0"/>
        <w:spacing w:before="240" w:lineRule="auto"/>
        <w:ind w:firstLine="540"/>
        <w:jc w:val="both"/>
      </w:pPr>
      <w:r>
        <w:rPr>
          <w:sz w:val="24"/>
        </w:rPr>
        <w:t xml:space="preserve">В силу положений </w:t>
      </w:r>
      <w:hyperlink w:history="0" r:id="rId2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части 2 статьи 42</w:t>
        </w:r>
      </w:hyperlink>
      <w:r>
        <w:rPr>
          <w:sz w:val="24"/>
        </w:rPr>
        <w:t xml:space="preserve"> Закона о контрактной системе извещение об осуществлении закупки, если иное не предусмотрено </w:t>
      </w:r>
      <w:hyperlink w:history="0" r:id="rId2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Законом</w:t>
        </w:r>
      </w:hyperlink>
      <w:r>
        <w:rPr>
          <w:sz w:val="24"/>
        </w:rPr>
        <w:t xml:space="preserve"> о контрактной системе, должно в том числе содержать описание объекта закупки в соответствии со </w:t>
      </w:r>
      <w:hyperlink w:history="0" r:id="rId2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статьей 33</w:t>
        </w:r>
      </w:hyperlink>
      <w:r>
        <w:rPr>
          <w:sz w:val="24"/>
        </w:rPr>
        <w:t xml:space="preserve"> Закона о контрактной системе, а также проект контракта.</w:t>
      </w:r>
    </w:p>
    <w:p>
      <w:pPr>
        <w:pStyle w:val="0"/>
        <w:spacing w:before="240" w:lineRule="auto"/>
        <w:ind w:firstLine="540"/>
        <w:jc w:val="both"/>
      </w:pPr>
      <w:r>
        <w:rPr>
          <w:sz w:val="24"/>
        </w:rPr>
        <w:t xml:space="preserve">В силу положений </w:t>
      </w:r>
      <w:hyperlink w:history="0" r:id="rId2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части 1 статьи 34</w:t>
        </w:r>
      </w:hyperlink>
      <w:r>
        <w:rPr>
          <w:sz w:val="24"/>
        </w:rPr>
        <w:t xml:space="preserve"> Закона о контрактной системе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w:t>
      </w:r>
      <w:hyperlink w:history="0" r:id="rId2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Законом</w:t>
        </w:r>
      </w:hyperlink>
      <w:r>
        <w:rPr>
          <w:sz w:val="24"/>
        </w:rPr>
        <w:t xml:space="preserve"> о контрактной системе извещение об осуществлении закупки или приглашение, документация о закупке, заявка не предусмотрены.</w:t>
      </w:r>
    </w:p>
    <w:p>
      <w:pPr>
        <w:pStyle w:val="0"/>
        <w:spacing w:before="240" w:lineRule="auto"/>
        <w:ind w:firstLine="540"/>
        <w:jc w:val="both"/>
      </w:pPr>
      <w:r>
        <w:rPr>
          <w:sz w:val="24"/>
        </w:rPr>
        <w:t xml:space="preserve">Пунктами 4.4.23 и 4.4.24 Проекта контракта установлено, что </w:t>
      </w:r>
      <w:r>
        <w:rPr>
          <w:sz w:val="24"/>
          <w:i w:val="on"/>
        </w:rPr>
        <w:t xml:space="preserve">подрядчик обязан</w:t>
      </w:r>
      <w:r>
        <w:rPr>
          <w:sz w:val="24"/>
        </w:rPr>
        <w:t xml:space="preserve">:</w:t>
      </w:r>
    </w:p>
    <w:p>
      <w:pPr>
        <w:pStyle w:val="0"/>
        <w:spacing w:before="240" w:lineRule="auto"/>
        <w:ind w:firstLine="540"/>
        <w:jc w:val="both"/>
      </w:pPr>
      <w:r>
        <w:rPr>
          <w:sz w:val="24"/>
        </w:rPr>
        <w:t xml:space="preserve">- осуществлять закупку необходимых для исполнения контракта товаров </w:t>
      </w:r>
      <w:r>
        <w:rPr>
          <w:sz w:val="24"/>
          <w:i w:val="on"/>
        </w:rPr>
        <w:t xml:space="preserve">в приоритетном порядке</w:t>
      </w:r>
      <w:r>
        <w:rPr>
          <w:sz w:val="24"/>
        </w:rPr>
        <w:t xml:space="preserve"> у физических лиц (в том числе индивидуальных предпринимателей) и юридических лиц, </w:t>
      </w:r>
      <w:r>
        <w:rPr>
          <w:sz w:val="24"/>
          <w:i w:val="on"/>
        </w:rPr>
        <w:t xml:space="preserve">зарегистрированных и производящих соответствующие товары на территории Пермского края</w:t>
      </w:r>
      <w:r>
        <w:rPr>
          <w:sz w:val="24"/>
        </w:rPr>
        <w:t xml:space="preserve">;</w:t>
      </w:r>
    </w:p>
    <w:p>
      <w:pPr>
        <w:pStyle w:val="0"/>
        <w:spacing w:before="240" w:lineRule="auto"/>
        <w:ind w:firstLine="540"/>
        <w:jc w:val="both"/>
      </w:pPr>
      <w:r>
        <w:rPr>
          <w:sz w:val="24"/>
        </w:rPr>
        <w:t xml:space="preserve">- </w:t>
      </w:r>
      <w:r>
        <w:rPr>
          <w:sz w:val="24"/>
          <w:i w:val="on"/>
        </w:rPr>
        <w:t xml:space="preserve">привлекать для выполнения работ по контракту в приоритетном порядке субподрядчиков</w:t>
      </w:r>
      <w:r>
        <w:rPr>
          <w:sz w:val="24"/>
        </w:rPr>
        <w:t xml:space="preserve"> из числа физических лиц (в том числе индивидуальных предпринимателей) и юридических лиц, </w:t>
      </w:r>
      <w:r>
        <w:rPr>
          <w:sz w:val="24"/>
          <w:i w:val="on"/>
        </w:rPr>
        <w:t xml:space="preserve">зарегистрированных на территории Пермского края</w:t>
      </w:r>
      <w:r>
        <w:rPr>
          <w:sz w:val="24"/>
        </w:rPr>
        <w:t xml:space="preserve">.</w:t>
      </w:r>
    </w:p>
    <w:p>
      <w:pPr>
        <w:pStyle w:val="0"/>
        <w:spacing w:before="240" w:lineRule="auto"/>
        <w:ind w:firstLine="540"/>
        <w:jc w:val="both"/>
      </w:pPr>
      <w:r>
        <w:rPr>
          <w:sz w:val="24"/>
        </w:rPr>
        <w:t xml:space="preserve">Представители Заказчика, Уполномоченного органа на заседании Комиссии ФАС России сообщили, что пункты 4.4.23 и 4.4.24 Проекта контракта не противоречат требованиям </w:t>
      </w:r>
      <w:hyperlink w:history="0" r:id="rId2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Закона</w:t>
        </w:r>
      </w:hyperlink>
      <w:r>
        <w:rPr>
          <w:sz w:val="24"/>
        </w:rPr>
        <w:t xml:space="preserve"> о контрактной системе и не обязывают потенциального подрядчика привлекать исключительно субподрядчиков, зарегистрированных на территории Пермского края и осуществлять закупку необходимых для исполнения контракта товаров у физических лиц (в том числе индивидуальных предпринимателей) и юридических лиц, зарегистрированных на территории Пермского края.</w:t>
      </w:r>
    </w:p>
    <w:p>
      <w:pPr>
        <w:pStyle w:val="0"/>
        <w:spacing w:before="240" w:lineRule="auto"/>
        <w:ind w:firstLine="540"/>
        <w:jc w:val="both"/>
      </w:pPr>
      <w:r>
        <w:rPr>
          <w:sz w:val="24"/>
        </w:rPr>
        <w:t xml:space="preserve">Вместе с тем Комиссией ФАС России установлено, что вышеуказанные положения содержатся в разделе 4.4 "Подрядчик обязан" Проекта контракта.</w:t>
      </w:r>
    </w:p>
    <w:p>
      <w:pPr>
        <w:pStyle w:val="0"/>
        <w:spacing w:before="240" w:lineRule="auto"/>
        <w:ind w:firstLine="540"/>
        <w:jc w:val="both"/>
      </w:pPr>
      <w:r>
        <w:rPr>
          <w:sz w:val="24"/>
        </w:rPr>
        <w:t xml:space="preserve">Кроме того, согласно пункту 7.1 Проекта контракта за неисполнение или ненадлежащее исполнение своих обязательств, установленных контрактом, Заказчик и подрядчик несут ответственность в соответствии с действующим законодательством Российской Федерации.</w:t>
      </w:r>
    </w:p>
    <w:p>
      <w:pPr>
        <w:pStyle w:val="0"/>
        <w:spacing w:before="240" w:lineRule="auto"/>
        <w:ind w:firstLine="540"/>
        <w:jc w:val="both"/>
      </w:pPr>
      <w:r>
        <w:rPr>
          <w:sz w:val="24"/>
        </w:rPr>
        <w:t xml:space="preserve">Комиссия ФАС России отмечает, что </w:t>
      </w:r>
      <w:hyperlink w:history="0" r:id="rId2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w:t>
        </w:r>
      </w:hyperlink>
      <w:r>
        <w:rPr>
          <w:sz w:val="24"/>
        </w:rPr>
        <w:t xml:space="preserve"> о контрактной системе регулирует отношения, направленные на обеспечение государственных и муниципальных нужд на всей территории Российской Федерации, и распространяется на все субъекты Российской Федерации в равной мере.</w:t>
      </w:r>
    </w:p>
    <w:p>
      <w:pPr>
        <w:pStyle w:val="0"/>
        <w:spacing w:before="240" w:lineRule="auto"/>
        <w:ind w:firstLine="540"/>
        <w:jc w:val="both"/>
      </w:pPr>
      <w:hyperlink w:history="0" r:id="rId2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Частью 1 статьи 8</w:t>
        </w:r>
      </w:hyperlink>
      <w:r>
        <w:rPr>
          <w:sz w:val="24"/>
        </w:rPr>
        <w:t xml:space="preserve"> Конституции Российской Федерации установлено, что 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w:t>
      </w:r>
    </w:p>
    <w:p>
      <w:pPr>
        <w:pStyle w:val="0"/>
        <w:spacing w:before="240" w:lineRule="auto"/>
        <w:ind w:firstLine="540"/>
        <w:jc w:val="both"/>
      </w:pPr>
      <w:r>
        <w:rPr>
          <w:sz w:val="24"/>
        </w:rPr>
        <w:t xml:space="preserve">В соответствии с </w:t>
      </w:r>
      <w:hyperlink w:history="0" r:id="rId2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пунктом 4 части 1 статьи 3</w:t>
        </w:r>
      </w:hyperlink>
      <w:r>
        <w:rPr>
          <w:sz w:val="24"/>
        </w:rPr>
        <w:t xml:space="preserve"> Закона о контрактной системе участником закупки может быть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 за исключением юридических или физических лиц, указанных в </w:t>
      </w:r>
      <w:hyperlink w:history="0" r:id="rId2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пункте 4 части 1 статьи 3</w:t>
        </w:r>
      </w:hyperlink>
      <w:r>
        <w:rPr>
          <w:sz w:val="24"/>
        </w:rPr>
        <w:t xml:space="preserve"> Закона о контрактной системе. Таким образом, любой участник закупки независимо от места его нахождения (места его государственной регистрации) вправе участвовать в закупках на всей территории Российской Федерации и стать поставщиком (подрядчиком исполнителем), а также привлечь субподрядчиков независимо от места их нахождения (места их государственной регистрации).</w:t>
      </w:r>
    </w:p>
    <w:p>
      <w:pPr>
        <w:pStyle w:val="0"/>
        <w:spacing w:before="240" w:lineRule="auto"/>
        <w:ind w:firstLine="540"/>
        <w:jc w:val="both"/>
      </w:pPr>
      <w:r>
        <w:rPr>
          <w:sz w:val="24"/>
        </w:rPr>
        <w:t xml:space="preserve">Создание преимуществ для участия в закупках товаров (работ, услуг) для обеспечения государственных и муниципальных нужд может привести к ограничению конкуренции, количества участников закупок и разрыву единого экономического пространства, что в свою очередь не соответствует действующему законодательству Российской Федерации о контрактной системе в сфере закупок.</w:t>
      </w:r>
    </w:p>
    <w:p>
      <w:pPr>
        <w:pStyle w:val="0"/>
        <w:spacing w:before="240" w:lineRule="auto"/>
        <w:ind w:firstLine="540"/>
        <w:jc w:val="both"/>
      </w:pPr>
      <w:r>
        <w:rPr>
          <w:sz w:val="24"/>
        </w:rPr>
        <w:t xml:space="preserve">На заседании Комиссии ФАС России установлено, что положения, предусматривающие обязанность подрядчика в приоритетном порядке закупать товары у физических лиц (в том числе индивидуальных предпринимателей) и юридических лиц, </w:t>
      </w:r>
      <w:r>
        <w:rPr>
          <w:sz w:val="24"/>
          <w:i w:val="on"/>
        </w:rPr>
        <w:t xml:space="preserve">зарегистрированных и производящих соответствующие товары на территории Пермского края</w:t>
      </w:r>
      <w:r>
        <w:rPr>
          <w:sz w:val="24"/>
        </w:rPr>
        <w:t xml:space="preserve">, а также привлекать в приоритетном порядке субподрядчиков из числа таких физических лиц и юридических лиц, </w:t>
      </w:r>
      <w:r>
        <w:rPr>
          <w:sz w:val="24"/>
          <w:i w:val="on"/>
        </w:rPr>
        <w:t xml:space="preserve">зарегистрированных на территории Пермского края</w:t>
      </w:r>
      <w:r>
        <w:rPr>
          <w:sz w:val="24"/>
        </w:rPr>
        <w:t xml:space="preserve">, не соответствуют требованиям </w:t>
      </w:r>
      <w:hyperlink w:history="0" r:id="rId3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Закона</w:t>
        </w:r>
      </w:hyperlink>
      <w:r>
        <w:rPr>
          <w:sz w:val="24"/>
        </w:rPr>
        <w:t xml:space="preserve"> о контрактной системе, поскольку позволяют вмешиваться Заказчику в оперативно-хозяйственную деятельность подрядчика и могут привести к невозможности исполнения подрядчиком контракта.</w:t>
      </w:r>
    </w:p>
    <w:p>
      <w:pPr>
        <w:pStyle w:val="0"/>
        <w:spacing w:before="240" w:lineRule="auto"/>
        <w:ind w:firstLine="540"/>
        <w:jc w:val="both"/>
      </w:pPr>
      <w:r>
        <w:rPr>
          <w:sz w:val="24"/>
        </w:rPr>
        <w:t xml:space="preserve">Учитывая изложенное, Комиссия ФАС России пришла к выводу, что действия Заказчика, Уполномоченного органа, установивших в Проекте контракта обязательство подрядчика привлекать в качестве субподрядчиков и осуществлять закупки у физических и юридических лиц, зарегистрированных и осуществляющих деятельность на территории Пермского края, нарушают </w:t>
      </w:r>
      <w:hyperlink w:history="0" r:id="rId3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 1 части 2 статьи 42</w:t>
        </w:r>
      </w:hyperlink>
      <w:r>
        <w:rPr>
          <w:sz w:val="24"/>
        </w:rPr>
        <w:t xml:space="preserve"> Закона о контрактной системе и содержат признаки административного правонарушения, ответственность за совершение которого предусмотрена </w:t>
      </w:r>
      <w:hyperlink w:history="0" r:id="rId32"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частью 5 статьи 7.30.1</w:t>
        </w:r>
      </w:hyperlink>
      <w:r>
        <w:rPr>
          <w:sz w:val="24"/>
        </w:rPr>
        <w:t xml:space="preserve"> КоАП РФ.</w:t>
      </w:r>
    </w:p>
    <w:p>
      <w:pPr>
        <w:pStyle w:val="0"/>
        <w:spacing w:before="240" w:lineRule="auto"/>
        <w:ind w:firstLine="540"/>
        <w:jc w:val="both"/>
      </w:pPr>
      <w:r>
        <w:rPr>
          <w:sz w:val="24"/>
        </w:rPr>
        <w:t xml:space="preserve">(</w:t>
      </w:r>
      <w:hyperlink w:history="0" r:id="rId33" w:tooltip="Ссылка на КонсультантПлюс">
        <w:r>
          <w:rPr>
            <w:sz w:val="24"/>
            <w:color w:val="0000ff"/>
          </w:rPr>
          <w:t xml:space="preserve">Решение</w:t>
        </w:r>
      </w:hyperlink>
      <w:r>
        <w:rPr>
          <w:sz w:val="24"/>
        </w:rPr>
        <w:t xml:space="preserve"> ФАС России от 08.05.2026 по делу N 28/06/105-1595/2026, </w:t>
      </w:r>
      <w:hyperlink w:history="0" r:id="rId34" w:tooltip="Ссылка на КонсультантПлюс">
        <w:r>
          <w:rPr>
            <w:sz w:val="24"/>
            <w:color w:val="0000ff"/>
          </w:rPr>
          <w:t xml:space="preserve">предписание</w:t>
        </w:r>
      </w:hyperlink>
      <w:r>
        <w:rPr>
          <w:sz w:val="24"/>
        </w:rPr>
        <w:t xml:space="preserve"> ФАС России от 08.05.2026 по делу N 28/06/105-1595/2026)</w:t>
      </w:r>
    </w:p>
    <w:p>
      <w:pPr>
        <w:pStyle w:val="0"/>
        <w:ind w:firstLine="540"/>
        <w:jc w:val="both"/>
      </w:pPr>
      <w:r>
        <w:rPr>
          <w:sz w:val="24"/>
        </w:rPr>
      </w:r>
    </w:p>
    <w:p>
      <w:pPr>
        <w:pStyle w:val="2"/>
        <w:outlineLvl w:val="0"/>
        <w:ind w:firstLine="540"/>
        <w:jc w:val="both"/>
      </w:pPr>
      <w:r>
        <w:rPr>
          <w:sz w:val="24"/>
        </w:rPr>
        <w:t xml:space="preserve">3. Несоблюдение типовых условий контрактов на выполнение работ по ремонту автомобильных дорог, искусственных дорожных сооружений в части установления гарантийного срока на обочины автомобильной дороги является нарушением законодательства Российской Федерации о контрактной системе.</w:t>
      </w:r>
    </w:p>
    <w:p>
      <w:pPr>
        <w:pStyle w:val="0"/>
        <w:ind w:firstLine="540"/>
        <w:jc w:val="both"/>
      </w:pPr>
      <w:r>
        <w:rPr>
          <w:sz w:val="24"/>
        </w:rPr>
      </w:r>
    </w:p>
    <w:p>
      <w:pPr>
        <w:pStyle w:val="0"/>
        <w:ind w:firstLine="540"/>
        <w:jc w:val="both"/>
      </w:pPr>
      <w:r>
        <w:rPr>
          <w:sz w:val="24"/>
        </w:rPr>
        <w:t xml:space="preserve">В связи с поступлением в ФАС России информации о признаках нарушения законодательства Российской Федерации и иных нормативных правовых актов о контрактной системе в сфере закупок при проведении ФКУ "Сибуправтодор" (далее - Заказчик), Комиссией по осуществлению закупок, ООО "РТС-тендер" открытого конкурса в электронной форме (далее - Конкурс) Комиссией ФАС России проведена внеплановая проверка в соответствии с </w:t>
      </w:r>
      <w:hyperlink w:history="0" r:id="rId3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пунктом 1 части 15 статьи 99</w:t>
        </w:r>
      </w:hyperlink>
      <w:r>
        <w:rPr>
          <w:sz w:val="24"/>
        </w:rPr>
        <w:t xml:space="preserve"> Закона о контрактной системе.</w:t>
      </w:r>
    </w:p>
    <w:p>
      <w:pPr>
        <w:pStyle w:val="0"/>
        <w:spacing w:before="240" w:lineRule="auto"/>
        <w:ind w:firstLine="540"/>
        <w:jc w:val="both"/>
      </w:pPr>
      <w:r>
        <w:rPr>
          <w:sz w:val="24"/>
        </w:rPr>
        <w:t xml:space="preserve">В ходе проведения внеплановой проверки Комиссией ФАС России установлено следующее.</w:t>
      </w:r>
    </w:p>
    <w:p>
      <w:pPr>
        <w:pStyle w:val="0"/>
        <w:spacing w:before="240" w:lineRule="auto"/>
        <w:ind w:firstLine="540"/>
        <w:jc w:val="both"/>
      </w:pPr>
      <w:r>
        <w:rPr>
          <w:sz w:val="24"/>
        </w:rPr>
        <w:t xml:space="preserve">В соответствии с </w:t>
      </w:r>
      <w:hyperlink w:history="0" r:id="rId3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пунктом 5 части 2 статьи 42</w:t>
        </w:r>
      </w:hyperlink>
      <w:r>
        <w:rPr>
          <w:sz w:val="24"/>
        </w:rPr>
        <w:t xml:space="preserve"> Закона о контрактной системе Извещение об осуществлении закупки, если иное не предусмотрено </w:t>
      </w:r>
      <w:hyperlink w:history="0" r:id="rId3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Законом</w:t>
        </w:r>
      </w:hyperlink>
      <w:r>
        <w:rPr>
          <w:sz w:val="24"/>
        </w:rPr>
        <w:t xml:space="preserve"> о контрактной системе, должно содержать проект контракта.</w:t>
      </w:r>
    </w:p>
    <w:p>
      <w:pPr>
        <w:pStyle w:val="0"/>
        <w:spacing w:before="240" w:lineRule="auto"/>
        <w:ind w:firstLine="540"/>
        <w:jc w:val="both"/>
      </w:pPr>
      <w:r>
        <w:rPr>
          <w:sz w:val="24"/>
        </w:rPr>
        <w:t xml:space="preserve">Согласно </w:t>
      </w:r>
      <w:hyperlink w:history="0" r:id="rId3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части 11 статьи 34</w:t>
        </w:r>
      </w:hyperlink>
      <w:r>
        <w:rPr>
          <w:sz w:val="24"/>
        </w:rPr>
        <w:t xml:space="preserve"> Закона о контрактной системе Правительство Российской Федерации вправе установить типовые условия контрактов, подлежащие применению заказчиками при осуществлении закупок.</w:t>
      </w:r>
    </w:p>
    <w:p>
      <w:pPr>
        <w:pStyle w:val="0"/>
        <w:spacing w:before="240" w:lineRule="auto"/>
        <w:ind w:firstLine="540"/>
        <w:jc w:val="both"/>
      </w:pPr>
      <w:hyperlink w:history="0" r:id="rId39" w:tooltip="Постановление Правительства РФ от 08.04.2023 N 572 &quot;Об утверждении типовых условий контрактов на выполнение работ по ремонту автомобильных дорог, искусственных дорожных сооружений&quot; {КонсультантПлюс}">
        <w:r>
          <w:rPr>
            <w:sz w:val="24"/>
            <w:color w:val="0000ff"/>
          </w:rPr>
          <w:t xml:space="preserve">Пунктом 2</w:t>
        </w:r>
      </w:hyperlink>
      <w:r>
        <w:rPr>
          <w:sz w:val="24"/>
        </w:rPr>
        <w:t xml:space="preserve"> приложения N 1 "Гарантийные сроки на конструктивные элементы автомобильной дороги, искусственного дорожного сооружения" к типовым условиям контрактов на выполнение работ по ремонту автомобильных дорог, искусственных дорожных сооружений (далее - Типовые условия), утвержденным Постановлением Правительства Российской Федерации от 08.04.2023 N 572, установлено, что </w:t>
      </w:r>
      <w:r>
        <w:rPr>
          <w:sz w:val="24"/>
          <w:i w:val="on"/>
        </w:rPr>
        <w:t xml:space="preserve">гарантийный срок для обочины (ее частей) автомобильной дороги</w:t>
      </w:r>
      <w:r>
        <w:rPr>
          <w:sz w:val="24"/>
        </w:rPr>
        <w:t xml:space="preserve">, укрепленных материалом по типу проезжей части, </w:t>
      </w:r>
      <w:r>
        <w:rPr>
          <w:sz w:val="24"/>
          <w:i w:val="on"/>
        </w:rPr>
        <w:t xml:space="preserve">принимается равным гарантийному сроку покрытия верхнего слоя дорожной одежды</w:t>
      </w:r>
      <w:r>
        <w:rPr>
          <w:sz w:val="24"/>
        </w:rPr>
        <w:t xml:space="preserve"> автомобильной дороги. В иных случаях гарантийный срок для обочины (ее частей) автомобильной дороги не регламентируется.</w:t>
      </w:r>
    </w:p>
    <w:p>
      <w:pPr>
        <w:pStyle w:val="0"/>
        <w:spacing w:before="240" w:lineRule="auto"/>
        <w:ind w:firstLine="540"/>
        <w:jc w:val="both"/>
      </w:pPr>
      <w:r>
        <w:rPr>
          <w:sz w:val="24"/>
        </w:rPr>
        <w:t xml:space="preserve">В соответствии с пунктом 13.2 проекта контракта извещения о проведении Конкурса (далее - Проект контракта) гарантийный срок устранения подрядчиком возникших в течение гарантийных сроков дефектов на автомобильной дороге или искусственном сооружении и входящих в него инженерных сооружений, оборудования, материалов составляет:</w:t>
      </w:r>
    </w:p>
    <w:p>
      <w:pPr>
        <w:pStyle w:val="0"/>
        <w:spacing w:before="240" w:lineRule="auto"/>
        <w:ind w:firstLine="540"/>
        <w:jc w:val="both"/>
      </w:pPr>
      <w:r>
        <w:rPr>
          <w:sz w:val="24"/>
        </w:rPr>
        <w:t xml:space="preserve">- по покрытию из асфальтобетона - 5 лет;</w:t>
      </w:r>
    </w:p>
    <w:p>
      <w:pPr>
        <w:pStyle w:val="0"/>
        <w:spacing w:before="240" w:lineRule="auto"/>
        <w:ind w:firstLine="540"/>
        <w:jc w:val="both"/>
      </w:pPr>
      <w:r>
        <w:rPr>
          <w:sz w:val="24"/>
        </w:rPr>
        <w:t xml:space="preserve">- по обочинам - 2 года.</w:t>
      </w:r>
    </w:p>
    <w:p>
      <w:pPr>
        <w:pStyle w:val="0"/>
        <w:spacing w:before="240" w:lineRule="auto"/>
        <w:ind w:firstLine="540"/>
        <w:jc w:val="both"/>
      </w:pPr>
      <w:r>
        <w:rPr>
          <w:sz w:val="24"/>
        </w:rPr>
        <w:t xml:space="preserve">Таким образом, Комиссией ФАС России установлено, что гарантийные сроки устранения подрядчиком возникших в течение гарантийных сроков дефектов на обочинах, указанные в Проекте контракта, не соответствуют требованиям Типовых условий.</w:t>
      </w:r>
    </w:p>
    <w:p>
      <w:pPr>
        <w:pStyle w:val="0"/>
        <w:spacing w:before="240" w:lineRule="auto"/>
        <w:ind w:firstLine="540"/>
        <w:jc w:val="both"/>
      </w:pPr>
      <w:r>
        <w:rPr>
          <w:sz w:val="24"/>
        </w:rPr>
        <w:t xml:space="preserve">Учитывая изложенное, Комиссия ФАС России пришла к выводу, что вышеуказанные действия Заказчика нарушают </w:t>
      </w:r>
      <w:hyperlink w:history="0" r:id="rId4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часть 11 статьи 34</w:t>
        </w:r>
      </w:hyperlink>
      <w:r>
        <w:rPr>
          <w:sz w:val="24"/>
        </w:rPr>
        <w:t xml:space="preserve"> Закона о контрактной системе и содержат признаки административного правонарушения, ответственность за совершение которого предусмотрена </w:t>
      </w:r>
      <w:hyperlink w:history="0" r:id="rId41"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частью 5 статьи 7.30.1</w:t>
        </w:r>
      </w:hyperlink>
      <w:r>
        <w:rPr>
          <w:sz w:val="24"/>
        </w:rPr>
        <w:t xml:space="preserve"> КоАП РФ.</w:t>
      </w:r>
    </w:p>
    <w:p>
      <w:pPr>
        <w:pStyle w:val="0"/>
        <w:spacing w:before="240" w:lineRule="auto"/>
        <w:ind w:firstLine="540"/>
        <w:jc w:val="both"/>
      </w:pPr>
      <w:r>
        <w:rPr>
          <w:sz w:val="24"/>
        </w:rPr>
        <w:t xml:space="preserve">(</w:t>
      </w:r>
      <w:hyperlink w:history="0" r:id="rId42" w:tooltip="Ссылка на КонсультантПлюс">
        <w:r>
          <w:rPr>
            <w:sz w:val="24"/>
            <w:color w:val="0000ff"/>
          </w:rPr>
          <w:t xml:space="preserve">Решение</w:t>
        </w:r>
      </w:hyperlink>
      <w:r>
        <w:rPr>
          <w:sz w:val="24"/>
        </w:rPr>
        <w:t xml:space="preserve"> ФАС России от 12.05.2026 по делу N 28/06/105-1629/2026, </w:t>
      </w:r>
      <w:hyperlink w:history="0" r:id="rId43" w:tooltip="Ссылка на КонсультантПлюс">
        <w:r>
          <w:rPr>
            <w:sz w:val="24"/>
            <w:color w:val="0000ff"/>
          </w:rPr>
          <w:t xml:space="preserve">предписание</w:t>
        </w:r>
      </w:hyperlink>
      <w:r>
        <w:rPr>
          <w:sz w:val="24"/>
        </w:rPr>
        <w:t xml:space="preserve"> ФАС России от 12.05.2026 по делу N 28/06/105-1629/2026)</w:t>
      </w:r>
    </w:p>
    <w:p>
      <w:pPr>
        <w:pStyle w:val="0"/>
        <w:ind w:firstLine="540"/>
        <w:jc w:val="both"/>
      </w:pPr>
      <w:r>
        <w:rPr>
          <w:sz w:val="24"/>
        </w:rPr>
      </w:r>
    </w:p>
    <w:p>
      <w:pPr>
        <w:pStyle w:val="2"/>
        <w:outlineLvl w:val="0"/>
        <w:ind w:firstLine="540"/>
        <w:jc w:val="both"/>
      </w:pPr>
      <w:r>
        <w:rPr>
          <w:sz w:val="24"/>
        </w:rPr>
        <w:t xml:space="preserve">4. Требование о подтверждении совместимости поставляемого оборудования с программным обеспечением заказчика исключительно на основании информации, размещенной на официальном сайте производителя программного обеспечения, ставит участника закупки в зависимость от третьего лица, а также влечет неправомерное ограничение числа участников закупки.</w:t>
      </w:r>
    </w:p>
    <w:p>
      <w:pPr>
        <w:pStyle w:val="0"/>
        <w:ind w:firstLine="540"/>
        <w:jc w:val="both"/>
      </w:pPr>
      <w:r>
        <w:rPr>
          <w:sz w:val="24"/>
        </w:rPr>
      </w:r>
    </w:p>
    <w:p>
      <w:pPr>
        <w:pStyle w:val="0"/>
        <w:ind w:firstLine="540"/>
        <w:jc w:val="both"/>
      </w:pPr>
      <w:r>
        <w:rPr>
          <w:sz w:val="24"/>
        </w:rPr>
        <w:t xml:space="preserve">В ФАС России поступила жалоба ООО "Куалком" (далее - Заявитель на действия ФССП России (далее - Заказчик) при проведении Заказчиком, ООО "ЭТП ГПБ" открытого аукциона в электронной форме (далее - Аукцион).</w:t>
      </w:r>
    </w:p>
    <w:p>
      <w:pPr>
        <w:pStyle w:val="0"/>
        <w:spacing w:before="240" w:lineRule="auto"/>
        <w:ind w:firstLine="540"/>
        <w:jc w:val="both"/>
      </w:pPr>
      <w:r>
        <w:rPr>
          <w:sz w:val="24"/>
        </w:rPr>
        <w:t xml:space="preserve">По мнению Заявителя, его права и законные интересы нарушены действиями Заказчика, ненадлежащим образом сформировавшего описание объекта закупки извещения о проведении Аукциона (далее - Описание объекта закупки) в части указания требования о подтверждении совместимости поставляемого оборудования с имеющимся у Заказчика программным обеспечением путем размещения информации на официальном сайте производителя программного обеспечения.</w:t>
      </w:r>
    </w:p>
    <w:p>
      <w:pPr>
        <w:pStyle w:val="0"/>
        <w:spacing w:before="240" w:lineRule="auto"/>
        <w:ind w:firstLine="540"/>
        <w:jc w:val="both"/>
      </w:pPr>
      <w:r>
        <w:rPr>
          <w:sz w:val="24"/>
        </w:rPr>
        <w:t xml:space="preserve">Согласно </w:t>
      </w:r>
      <w:hyperlink w:history="0" r:id="rId4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пункту 1 части 2 статьи 42</w:t>
        </w:r>
      </w:hyperlink>
      <w:r>
        <w:rPr>
          <w:sz w:val="24"/>
        </w:rPr>
        <w:t xml:space="preserve"> Закона о контрактной системе извещение об осуществлении закупки, если иное не предусмотрено </w:t>
      </w:r>
      <w:hyperlink w:history="0" r:id="rId4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Законом</w:t>
        </w:r>
      </w:hyperlink>
      <w:r>
        <w:rPr>
          <w:sz w:val="24"/>
        </w:rPr>
        <w:t xml:space="preserve"> о контрактной системе, должно содержать описание объекта закупки в соответствии со </w:t>
      </w:r>
      <w:hyperlink w:history="0" r:id="rId4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статьей 33</w:t>
        </w:r>
      </w:hyperlink>
      <w:r>
        <w:rPr>
          <w:sz w:val="24"/>
        </w:rPr>
        <w:t xml:space="preserve"> Закона о контрактной системе.</w:t>
      </w:r>
    </w:p>
    <w:p>
      <w:pPr>
        <w:pStyle w:val="0"/>
        <w:spacing w:before="240" w:lineRule="auto"/>
        <w:ind w:firstLine="540"/>
        <w:jc w:val="both"/>
      </w:pPr>
      <w:hyperlink w:history="0" r:id="rId4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Пунктом 1 части 1 статьи 33</w:t>
        </w:r>
      </w:hyperlink>
      <w:r>
        <w:rPr>
          <w:sz w:val="24"/>
        </w:rPr>
        <w:t xml:space="preserve"> Закона о контрактной системе установлено, что заказчик в случаях, предусмотренных </w:t>
      </w:r>
      <w:hyperlink w:history="0" r:id="rId4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Законом</w:t>
        </w:r>
      </w:hyperlink>
      <w:r>
        <w:rPr>
          <w:sz w:val="24"/>
        </w:rPr>
        <w:t xml:space="preserve"> о контрактной системе, в описании объекта закупки указывает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w:t>
      </w:r>
    </w:p>
    <w:p>
      <w:pPr>
        <w:pStyle w:val="0"/>
        <w:spacing w:before="240" w:lineRule="auto"/>
        <w:ind w:firstLine="540"/>
        <w:jc w:val="both"/>
      </w:pPr>
      <w:r>
        <w:rPr>
          <w:sz w:val="24"/>
        </w:rPr>
        <w:t xml:space="preserve">Согласно </w:t>
      </w:r>
      <w:hyperlink w:history="0" r:id="rId4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пункту 2 части 1 статьи 33</w:t>
        </w:r>
      </w:hyperlink>
      <w:r>
        <w:rPr>
          <w:sz w:val="24"/>
        </w:rPr>
        <w:t xml:space="preserve"> Закона о контрактной системе при составлении описания объекта закупки заказчик использует показатели, требования, условные обозначения и терминологию, предусмотренные техническими регламентами и документами в сфере технического регулирования и стандартизации, а также иные требования, связанные с определением соответствия поставляемого товара, выполняемой работы, оказываемой услуги потребностям заказчика при условии обоснования необходимости использования других показателей, требований, условных обозначений и терминологии.</w:t>
      </w:r>
    </w:p>
    <w:p>
      <w:pPr>
        <w:pStyle w:val="0"/>
        <w:spacing w:before="240" w:lineRule="auto"/>
        <w:ind w:firstLine="540"/>
        <w:jc w:val="both"/>
      </w:pPr>
      <w:hyperlink w:history="0" r:id="rId5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Частью 3 статьи 33</w:t>
        </w:r>
      </w:hyperlink>
      <w:r>
        <w:rPr>
          <w:sz w:val="24"/>
        </w:rPr>
        <w:t xml:space="preserve"> Закона о контрактной системе установлен запрет на включение в описание объекта закупки требований к производителю товара, к участнику закупки (в том числе к его квалификации, опыту, деловой репутации, наличию производственных мощностей, оборудования, технологического оборудования, трудовых, финансовых и других ресурсов), за исключением случаев, предусмотренных </w:t>
      </w:r>
      <w:hyperlink w:history="0" r:id="rId5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Законом</w:t>
        </w:r>
      </w:hyperlink>
      <w:r>
        <w:rPr>
          <w:sz w:val="24"/>
        </w:rPr>
        <w:t xml:space="preserve"> о контрактной системе.</w:t>
      </w:r>
    </w:p>
    <w:p>
      <w:pPr>
        <w:pStyle w:val="0"/>
        <w:spacing w:before="240" w:lineRule="auto"/>
        <w:ind w:firstLine="540"/>
        <w:jc w:val="both"/>
      </w:pPr>
      <w:r>
        <w:rPr>
          <w:sz w:val="24"/>
        </w:rPr>
        <w:t xml:space="preserve">В подпункте "е" пункта 3.3 раздела 3 приложения N 1 "Техническое задание на поставку серверного оборудования" Описания объекта закупки установлено следующее требование: "поставляемое серверное оборудование и каждая его единица должны быть совместимым с следующим программным обеспечением: РЕД ОС 7.3 и РЕД ОС 8.0 (N 3751 в реестре российского программного обеспечения, </w:t>
      </w:r>
      <w:hyperlink w:history="0" r:id="rId52">
        <w:r>
          <w:rPr>
            <w:sz w:val="24"/>
            <w:color w:val="0000ff"/>
          </w:rPr>
          <w:t xml:space="preserve">https://reestr.digital.gov.ru/reestr/305101/</w:t>
        </w:r>
      </w:hyperlink>
      <w:r>
        <w:rPr>
          <w:sz w:val="24"/>
        </w:rPr>
        <w:t xml:space="preserve">); РЕД Виртуализация 7.3 (N 6929 в реестре российского программного обеспечения </w:t>
      </w:r>
      <w:hyperlink w:history="0" r:id="rId53">
        <w:r>
          <w:rPr>
            <w:sz w:val="24"/>
            <w:color w:val="0000ff"/>
          </w:rPr>
          <w:t xml:space="preserve">https://reestr.digital.gov.ru/reestr/308279/</w:t>
        </w:r>
      </w:hyperlink>
      <w:r>
        <w:rPr>
          <w:sz w:val="24"/>
        </w:rPr>
        <w:t xml:space="preserve">); </w:t>
      </w:r>
      <w:r>
        <w:rPr>
          <w:sz w:val="24"/>
          <w:i w:val="on"/>
        </w:rPr>
        <w:t xml:space="preserve">совместимость</w:t>
      </w:r>
      <w:r>
        <w:rPr>
          <w:sz w:val="24"/>
        </w:rPr>
        <w:t xml:space="preserve"> с указанными операционными системами и средством виртуализации </w:t>
      </w:r>
      <w:r>
        <w:rPr>
          <w:sz w:val="24"/>
          <w:i w:val="on"/>
        </w:rPr>
        <w:t xml:space="preserve">должна подтверждаться информацией, размещенной в открытом доступе на официальном сайте производителя программного обеспечения</w:t>
      </w:r>
      <w:r>
        <w:rPr>
          <w:sz w:val="24"/>
        </w:rPr>
        <w:t xml:space="preserve"> (ООО "Ред Софт")".</w:t>
      </w:r>
    </w:p>
    <w:p>
      <w:pPr>
        <w:pStyle w:val="0"/>
        <w:spacing w:before="240" w:lineRule="auto"/>
        <w:ind w:firstLine="540"/>
        <w:jc w:val="both"/>
      </w:pPr>
      <w:r>
        <w:rPr>
          <w:sz w:val="24"/>
        </w:rPr>
        <w:t xml:space="preserve">Представители Заказчика на заседании Комиссии ФАС России представили сведения, согласно которым для размещения информации о совместимости поставляемого серверного оборудования (далее - Товар) и имеющегося у Заказчика программного обеспечения необходимо оставить заявку на сайте производителя программного обеспечения для проведения соответствующей проверки совместимости. По результатам указанной проверки производитель программного обеспечения размещает либо не размещает на официальном сайте сведения о товаре.</w:t>
      </w:r>
    </w:p>
    <w:p>
      <w:pPr>
        <w:pStyle w:val="0"/>
        <w:spacing w:before="240" w:lineRule="auto"/>
        <w:ind w:firstLine="540"/>
        <w:jc w:val="both"/>
      </w:pPr>
      <w:r>
        <w:rPr>
          <w:sz w:val="24"/>
        </w:rPr>
        <w:t xml:space="preserve">Представитель Заявителя на заседании Комиссии ФАС России пояснил, что указанное требование ставит поставщика в зависимость от волеизъявления третьего лица и ограничивает круг участников закупки.</w:t>
      </w:r>
    </w:p>
    <w:p>
      <w:pPr>
        <w:pStyle w:val="0"/>
        <w:spacing w:before="240" w:lineRule="auto"/>
        <w:ind w:firstLine="540"/>
        <w:jc w:val="both"/>
      </w:pPr>
      <w:r>
        <w:rPr>
          <w:sz w:val="24"/>
        </w:rPr>
        <w:t xml:space="preserve">Вместе с тем Комиссией ФАС России установлено, что в Описании объекта закупки отсутствует указание альтернативных способов подтверждения совместимости Товара с имеющимся у Заказчика программным обеспечением.</w:t>
      </w:r>
    </w:p>
    <w:p>
      <w:pPr>
        <w:pStyle w:val="0"/>
        <w:spacing w:before="240" w:lineRule="auto"/>
        <w:ind w:firstLine="540"/>
        <w:jc w:val="both"/>
      </w:pPr>
      <w:r>
        <w:rPr>
          <w:sz w:val="24"/>
        </w:rPr>
        <w:t xml:space="preserve">Установление в описании объекта закупки требования о подтверждении совместимости товара с программным обеспечением заказчика исключительно на основании информации, размещенной на официальном сайте производителя такого программного обеспечения, без возможности подтверждения совместимости товара с имеющимся у заказчика программным обеспечением иным способом, создает для участников закупки ситуацию фактической и юридической зависимости от действий третьего лица, не являющегося стороной контрактных отношений, а также влечет нарушение принципа обеспечения конкуренции, установленного </w:t>
      </w:r>
      <w:hyperlink w:history="0" r:id="rId5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статьей 8</w:t>
        </w:r>
      </w:hyperlink>
      <w:r>
        <w:rPr>
          <w:sz w:val="24"/>
        </w:rPr>
        <w:t xml:space="preserve"> Закона о контрактной системе.</w:t>
      </w:r>
    </w:p>
    <w:p>
      <w:pPr>
        <w:pStyle w:val="0"/>
        <w:spacing w:before="240" w:lineRule="auto"/>
        <w:ind w:firstLine="540"/>
        <w:jc w:val="both"/>
      </w:pPr>
      <w:r>
        <w:rPr>
          <w:sz w:val="24"/>
        </w:rPr>
        <w:t xml:space="preserve">Учитывая изложенное, Комиссия ФАС России пришла к выводу, что действия Заказчика, установившего в Описании объекта закупки требование о подтверждении совместимости поставляемого оборудования с имеющимся у Заказчика программным обеспечением путем размещения информации на официальном сайте производителя программного обеспечения, нарушают </w:t>
      </w:r>
      <w:hyperlink w:history="0" r:id="rId5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 1 части 2 статьи 42</w:t>
        </w:r>
      </w:hyperlink>
      <w:r>
        <w:rPr>
          <w:sz w:val="24"/>
        </w:rPr>
        <w:t xml:space="preserve"> Закона о контрактной системе и содержит признаки административного правонарушения, ответственность за совершение которого предусмотрена </w:t>
      </w:r>
      <w:hyperlink w:history="0" r:id="rId56"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частью 5 статьи 7.30.1</w:t>
        </w:r>
      </w:hyperlink>
      <w:r>
        <w:rPr>
          <w:sz w:val="24"/>
        </w:rPr>
        <w:t xml:space="preserve"> КоАП РФ.</w:t>
      </w:r>
    </w:p>
    <w:p>
      <w:pPr>
        <w:pStyle w:val="0"/>
        <w:spacing w:before="240" w:lineRule="auto"/>
        <w:ind w:firstLine="540"/>
        <w:jc w:val="both"/>
      </w:pPr>
      <w:r>
        <w:rPr>
          <w:sz w:val="24"/>
        </w:rPr>
        <w:t xml:space="preserve">(</w:t>
      </w:r>
      <w:hyperlink w:history="0" r:id="rId57" w:tooltip="Ссылка на КонсультантПлюс">
        <w:r>
          <w:rPr>
            <w:sz w:val="24"/>
            <w:color w:val="0000ff"/>
          </w:rPr>
          <w:t xml:space="preserve">Решение</w:t>
        </w:r>
      </w:hyperlink>
      <w:r>
        <w:rPr>
          <w:sz w:val="24"/>
        </w:rPr>
        <w:t xml:space="preserve"> ФАС России от 08.05.2026 по делу N 28/06/105-1601/2025)</w:t>
      </w:r>
    </w:p>
    <w:p>
      <w:pPr>
        <w:pStyle w:val="0"/>
        <w:ind w:firstLine="540"/>
        <w:jc w:val="both"/>
      </w:pPr>
      <w:r>
        <w:rPr>
          <w:sz w:val="24"/>
        </w:rPr>
      </w:r>
    </w:p>
    <w:p>
      <w:pPr>
        <w:pStyle w:val="2"/>
        <w:outlineLvl w:val="0"/>
        <w:ind w:firstLine="540"/>
        <w:jc w:val="both"/>
      </w:pPr>
      <w:r>
        <w:rPr>
          <w:sz w:val="24"/>
        </w:rPr>
        <w:t xml:space="preserve">5. Предоставление независимых гарантий с указанием заказчиков в качестве бенефициаров в случае проведения совместного аукциона не соответствует требованиям типовой формы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w:t>
      </w:r>
    </w:p>
    <w:p>
      <w:pPr>
        <w:pStyle w:val="0"/>
        <w:ind w:firstLine="540"/>
        <w:jc w:val="both"/>
      </w:pPr>
      <w:r>
        <w:rPr>
          <w:sz w:val="24"/>
        </w:rPr>
      </w:r>
    </w:p>
    <w:p>
      <w:pPr>
        <w:pStyle w:val="0"/>
        <w:ind w:firstLine="540"/>
        <w:jc w:val="both"/>
      </w:pPr>
      <w:r>
        <w:rPr>
          <w:sz w:val="24"/>
        </w:rPr>
        <w:t xml:space="preserve">В ФАС России поступила жалоба ООО "МБ-Груп" (далее - Заявитель) на действия ПАО "Московский Кредитный Банк", ПАО "Банк "Санкт-Петербург", АО "МСП Банк" (далее - Банки) при проведении заказчиками (по списку) (далее - Заказчики), Министерством по тарифному регулированию и государственным закупкам Пензенской области (далее - Уполномоченный орган), комиссией по осуществлению закупок Уполномоченного органа (далее - Комиссия по осуществлению закупок), ООО "РТС-тендер" электронного аукциона (далее - Аукцион).</w:t>
      </w:r>
    </w:p>
    <w:p>
      <w:pPr>
        <w:pStyle w:val="0"/>
        <w:spacing w:before="240" w:lineRule="auto"/>
        <w:ind w:firstLine="540"/>
        <w:jc w:val="both"/>
      </w:pPr>
      <w:r>
        <w:rPr>
          <w:sz w:val="24"/>
        </w:rPr>
        <w:t xml:space="preserve">По мнению Заявителя, его права и законные интересы нарушены действиями Банков, выдавших независимые гарантии в качестве обеспечения заявки на участие в Аукционе (далее - Независимые гарантии), не соответствующие требованиям извещения о проведении Аукциона (далее - Извещение) и </w:t>
      </w:r>
      <w:hyperlink w:history="0" r:id="rId5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Закона</w:t>
        </w:r>
      </w:hyperlink>
      <w:r>
        <w:rPr>
          <w:sz w:val="24"/>
        </w:rPr>
        <w:t xml:space="preserve"> о контрактной системе.</w:t>
      </w:r>
    </w:p>
    <w:p>
      <w:pPr>
        <w:pStyle w:val="0"/>
        <w:spacing w:before="240" w:lineRule="auto"/>
        <w:ind w:firstLine="540"/>
        <w:jc w:val="both"/>
      </w:pPr>
      <w:r>
        <w:rPr>
          <w:sz w:val="24"/>
        </w:rPr>
        <w:t xml:space="preserve">Согласно </w:t>
      </w:r>
      <w:hyperlink w:history="0" r:id="rId5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пункту 1 части 1 статьи 45</w:t>
        </w:r>
      </w:hyperlink>
      <w:r>
        <w:rPr>
          <w:sz w:val="24"/>
        </w:rPr>
        <w:t xml:space="preserve"> Закона о контрактной системе заказчики в качестве обеспечения заявок, исполнения контрактов, гарантийных обязательств принимают независимые гарантии, выданные банками, соответствующими требованиям, установленным Правительством Российской Федерации, и включенными в перечень, предусмотренный </w:t>
      </w:r>
      <w:hyperlink w:history="0" r:id="rId6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частью 1.2 статьи 45</w:t>
        </w:r>
      </w:hyperlink>
      <w:r>
        <w:rPr>
          <w:sz w:val="24"/>
        </w:rPr>
        <w:t xml:space="preserve"> Закона о контрактной системе.</w:t>
      </w:r>
    </w:p>
    <w:p>
      <w:pPr>
        <w:pStyle w:val="0"/>
        <w:spacing w:before="240" w:lineRule="auto"/>
        <w:ind w:firstLine="540"/>
        <w:jc w:val="both"/>
      </w:pPr>
      <w:hyperlink w:history="0" r:id="rId6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Пунктом 3 части 6 статьи 45</w:t>
        </w:r>
      </w:hyperlink>
      <w:r>
        <w:rPr>
          <w:sz w:val="24"/>
        </w:rPr>
        <w:t xml:space="preserve"> Закона о контрактной системе установлено, что несоответствие независимой гарантии требованиям, содержащимся в извещении об осуществлении закупки, приглашении, документации о закупке (в случае, если </w:t>
      </w:r>
      <w:hyperlink w:history="0" r:id="rId6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Законом</w:t>
        </w:r>
      </w:hyperlink>
      <w:r>
        <w:rPr>
          <w:sz w:val="24"/>
        </w:rPr>
        <w:t xml:space="preserve"> о контрактной системе предусмотрена документация о закупке), проекте контракта, который заключается с единственным поставщиком (подрядчиком, исполнителем), является основанием для отказа в принятии независимой гарантии заказчиком.</w:t>
      </w:r>
    </w:p>
    <w:p>
      <w:pPr>
        <w:pStyle w:val="0"/>
        <w:spacing w:before="240" w:lineRule="auto"/>
        <w:ind w:firstLine="540"/>
        <w:jc w:val="both"/>
      </w:pPr>
      <w:r>
        <w:rPr>
          <w:sz w:val="24"/>
        </w:rPr>
        <w:t xml:space="preserve">Согласно </w:t>
      </w:r>
      <w:hyperlink w:history="0" r:id="rId6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части 8 статьи 45</w:t>
        </w:r>
      </w:hyperlink>
      <w:r>
        <w:rPr>
          <w:sz w:val="24"/>
        </w:rPr>
        <w:t xml:space="preserve"> Закона о контрактной системе независимая гарантия, используемая для целей </w:t>
      </w:r>
      <w:hyperlink w:history="0" r:id="rId6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Закона</w:t>
        </w:r>
      </w:hyperlink>
      <w:r>
        <w:rPr>
          <w:sz w:val="24"/>
        </w:rPr>
        <w:t xml:space="preserve"> о контрактной системы, информация о ней и документы, предусмотренные </w:t>
      </w:r>
      <w:hyperlink w:history="0" r:id="rId6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частью 9 статьи 45</w:t>
        </w:r>
      </w:hyperlink>
      <w:r>
        <w:rPr>
          <w:sz w:val="24"/>
        </w:rPr>
        <w:t xml:space="preserve"> Закона о контрактной системе, должны быть включены в реестр независимых гарантий, размещенный в ЕИС, за исключением независимых гарантий, указанных в </w:t>
      </w:r>
      <w:hyperlink w:history="0" r:id="rId6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части 8.1 статьи 45</w:t>
        </w:r>
      </w:hyperlink>
      <w:r>
        <w:rPr>
          <w:sz w:val="24"/>
        </w:rPr>
        <w:t xml:space="preserve"> Закона о контрактной системе. Ведение такого реестра осуществляется путем включения в соответствии с порядком, предусмотренным </w:t>
      </w:r>
      <w:hyperlink w:history="0" r:id="rId6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частью 8.2 статьи 45</w:t>
        </w:r>
      </w:hyperlink>
      <w:r>
        <w:rPr>
          <w:sz w:val="24"/>
        </w:rPr>
        <w:t xml:space="preserve"> Закона о контрактной системе,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pPr>
        <w:pStyle w:val="0"/>
        <w:spacing w:before="240" w:lineRule="auto"/>
        <w:ind w:firstLine="540"/>
        <w:jc w:val="both"/>
      </w:pPr>
      <w:r>
        <w:rPr>
          <w:sz w:val="24"/>
        </w:rPr>
        <w:t xml:space="preserve">В соответствии с </w:t>
      </w:r>
      <w:hyperlink w:history="0" r:id="rId6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частью 8.2 статьи 45</w:t>
        </w:r>
      </w:hyperlink>
      <w:r>
        <w:rPr>
          <w:sz w:val="24"/>
        </w:rPr>
        <w:t xml:space="preserve"> Закона о контрактной системе дополнительные требования к независимой гарантии, используемой для целей </w:t>
      </w:r>
      <w:hyperlink w:history="0" r:id="rId6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Закона</w:t>
        </w:r>
      </w:hyperlink>
      <w:r>
        <w:rPr>
          <w:sz w:val="24"/>
        </w:rPr>
        <w:t xml:space="preserve"> о контрактной системе, порядок ведения и размещения в ЕИС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w:t>
      </w:r>
      <w:hyperlink w:history="0" r:id="rId7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Закона</w:t>
        </w:r>
      </w:hyperlink>
      <w:r>
        <w:rPr>
          <w:sz w:val="24"/>
        </w:rPr>
        <w:t xml:space="preserve"> о контрактной системе, форма требования об уплате денежной суммы по независимой гарантии устанавливаются Правительством Российской Федерации.</w:t>
      </w:r>
    </w:p>
    <w:p>
      <w:pPr>
        <w:pStyle w:val="0"/>
        <w:spacing w:before="240" w:lineRule="auto"/>
        <w:ind w:firstLine="540"/>
        <w:jc w:val="both"/>
      </w:pPr>
      <w:hyperlink w:history="0" r:id="rId71"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4"/>
            <w:color w:val="0000ff"/>
          </w:rPr>
          <w:t xml:space="preserve">Постановлением</w:t>
        </w:r>
      </w:hyperlink>
      <w:r>
        <w:rPr>
          <w:sz w:val="24"/>
        </w:rPr>
        <w:t xml:space="preserve"> Правительства Российской Федерации от 08.11.2013 N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N 1005) утверждены в том числе:</w:t>
      </w:r>
    </w:p>
    <w:p>
      <w:pPr>
        <w:pStyle w:val="0"/>
        <w:spacing w:before="240" w:lineRule="auto"/>
        <w:ind w:firstLine="540"/>
        <w:jc w:val="both"/>
      </w:pPr>
      <w:r>
        <w:rPr>
          <w:sz w:val="24"/>
        </w:rPr>
        <w:t xml:space="preserve">- дополнительные </w:t>
      </w:r>
      <w:hyperlink w:history="0" r:id="rId72"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4"/>
            <w:color w:val="0000ff"/>
          </w:rPr>
          <w:t xml:space="preserve">требования</w:t>
        </w:r>
      </w:hyperlink>
      <w:r>
        <w:rPr>
          <w:sz w:val="24"/>
        </w:rPr>
        <w:t xml:space="preserve"> к независимой гарантии, используемой для целей Закона о контрактной системы (далее - Дополнительные требования);</w:t>
      </w:r>
    </w:p>
    <w:p>
      <w:pPr>
        <w:pStyle w:val="0"/>
        <w:spacing w:before="240" w:lineRule="auto"/>
        <w:ind w:firstLine="540"/>
        <w:jc w:val="both"/>
      </w:pPr>
      <w:r>
        <w:rPr>
          <w:sz w:val="24"/>
        </w:rPr>
        <w:t xml:space="preserve">- типовая </w:t>
      </w:r>
      <w:hyperlink w:history="0" r:id="rId73"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4"/>
            <w:color w:val="0000ff"/>
          </w:rPr>
          <w:t xml:space="preserve">форма</w:t>
        </w:r>
      </w:hyperlink>
      <w:r>
        <w:rPr>
          <w:sz w:val="24"/>
        </w:rPr>
        <w:t xml:space="preserve">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 (далее - Типовая форма).</w:t>
      </w:r>
    </w:p>
    <w:p>
      <w:pPr>
        <w:pStyle w:val="0"/>
        <w:spacing w:before="240" w:lineRule="auto"/>
        <w:ind w:firstLine="540"/>
        <w:jc w:val="both"/>
      </w:pPr>
      <w:r>
        <w:rPr>
          <w:sz w:val="24"/>
        </w:rPr>
        <w:t xml:space="preserve">В силу положений </w:t>
      </w:r>
      <w:hyperlink w:history="0" r:id="rId74"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4"/>
            <w:color w:val="0000ff"/>
          </w:rPr>
          <w:t xml:space="preserve">абзаца первого</w:t>
        </w:r>
      </w:hyperlink>
      <w:r>
        <w:rPr>
          <w:sz w:val="24"/>
        </w:rPr>
        <w:t xml:space="preserve"> Дополнительных требований независимая гарантия должна быть составлена в том числе по утвержденной Постановлением N 1005 Типовой </w:t>
      </w:r>
      <w:hyperlink w:history="0" r:id="rId75"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4"/>
            <w:color w:val="0000ff"/>
          </w:rPr>
          <w:t xml:space="preserve">форме</w:t>
        </w:r>
      </w:hyperlink>
      <w:r>
        <w:rPr>
          <w:sz w:val="24"/>
        </w:rPr>
        <w:t xml:space="preserve"> (в случае составления независимой гарантии, предоставляемой в качестве обеспечения заявки на участие в закупке), на условиях, определенных гражданским законодательством и </w:t>
      </w:r>
      <w:hyperlink w:history="0" r:id="rId7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статьей 45</w:t>
        </w:r>
      </w:hyperlink>
      <w:r>
        <w:rPr>
          <w:sz w:val="24"/>
        </w:rPr>
        <w:t xml:space="preserve"> Закона о контрактной системе, с учетом Дополнительных </w:t>
      </w:r>
      <w:hyperlink w:history="0" r:id="rId77"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4"/>
            <w:color w:val="0000ff"/>
          </w:rPr>
          <w:t xml:space="preserve">требований</w:t>
        </w:r>
      </w:hyperlink>
      <w:r>
        <w:rPr>
          <w:sz w:val="24"/>
        </w:rPr>
        <w:t xml:space="preserve">, утвержденных Постановлением N 1005.</w:t>
      </w:r>
    </w:p>
    <w:p>
      <w:pPr>
        <w:pStyle w:val="0"/>
        <w:spacing w:before="240" w:lineRule="auto"/>
        <w:ind w:firstLine="540"/>
        <w:jc w:val="both"/>
      </w:pPr>
      <w:r>
        <w:rPr>
          <w:sz w:val="24"/>
        </w:rPr>
        <w:t xml:space="preserve">Таким образом, соблюдение Типовой </w:t>
      </w:r>
      <w:hyperlink w:history="0" r:id="rId78"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4"/>
            <w:color w:val="0000ff"/>
          </w:rPr>
          <w:t xml:space="preserve">формы</w:t>
        </w:r>
      </w:hyperlink>
      <w:r>
        <w:rPr>
          <w:sz w:val="24"/>
        </w:rPr>
        <w:t xml:space="preserve"> при составлении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 является обязательным.</w:t>
      </w:r>
    </w:p>
    <w:p>
      <w:pPr>
        <w:pStyle w:val="0"/>
        <w:spacing w:before="240" w:lineRule="auto"/>
        <w:ind w:firstLine="540"/>
        <w:jc w:val="both"/>
      </w:pPr>
      <w:r>
        <w:rPr>
          <w:sz w:val="24"/>
        </w:rPr>
        <w:t xml:space="preserve">На заседании Комиссии установлено, что согласно протоколу подведения итогов определения поставщика (подрядчика, исполнителя) от 08.05.2026 N ИЭА1 заявка Заявителя отклонена Комиссией по осуществлению закупок на основании </w:t>
      </w:r>
      <w:hyperlink w:history="0" r:id="rId7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пункта 7 части 12 статьи 48</w:t>
        </w:r>
      </w:hyperlink>
      <w:r>
        <w:rPr>
          <w:sz w:val="24"/>
        </w:rPr>
        <w:t xml:space="preserve"> Закона о контрактной системе ввиду несоответствия представленных Независимых гарантий требованиям Типовой </w:t>
      </w:r>
      <w:hyperlink w:history="0" r:id="rId80"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4"/>
            <w:color w:val="0000ff"/>
          </w:rPr>
          <w:t xml:space="preserve">формы</w:t>
        </w:r>
      </w:hyperlink>
      <w:r>
        <w:rPr>
          <w:sz w:val="24"/>
        </w:rPr>
        <w:t xml:space="preserve">.</w:t>
      </w:r>
    </w:p>
    <w:p>
      <w:pPr>
        <w:pStyle w:val="0"/>
        <w:spacing w:before="240" w:lineRule="auto"/>
        <w:ind w:firstLine="540"/>
        <w:jc w:val="both"/>
      </w:pPr>
      <w:r>
        <w:rPr>
          <w:sz w:val="24"/>
        </w:rPr>
        <w:t xml:space="preserve">В соответствии со </w:t>
      </w:r>
      <w:hyperlink w:history="0" r:id="rId81"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4"/>
            <w:color w:val="0000ff"/>
          </w:rPr>
          <w:t xml:space="preserve">сноской &lt;1-1&gt;</w:t>
        </w:r>
      </w:hyperlink>
      <w:r>
        <w:rPr>
          <w:sz w:val="24"/>
        </w:rPr>
        <w:t xml:space="preserve"> Типовой формы в качестве бенефициара указывается заказчик, за исключением случая проведения совместного аукциона, при котором </w:t>
      </w:r>
      <w:r>
        <w:rPr>
          <w:sz w:val="24"/>
          <w:i w:val="on"/>
        </w:rPr>
        <w:t xml:space="preserve">в качестве бенефициара указывается организатор совместного аукциона</w:t>
      </w:r>
      <w:r>
        <w:rPr>
          <w:sz w:val="24"/>
        </w:rPr>
        <w:t xml:space="preserve">.</w:t>
      </w:r>
    </w:p>
    <w:p>
      <w:pPr>
        <w:pStyle w:val="0"/>
        <w:spacing w:before="240" w:lineRule="auto"/>
        <w:ind w:firstLine="540"/>
        <w:jc w:val="both"/>
      </w:pPr>
      <w:r>
        <w:rPr>
          <w:sz w:val="24"/>
        </w:rPr>
        <w:t xml:space="preserve">Таким образом, учитывая положения Типовой </w:t>
      </w:r>
      <w:hyperlink w:history="0" r:id="rId82"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4"/>
            <w:color w:val="0000ff"/>
          </w:rPr>
          <w:t xml:space="preserve">формы</w:t>
        </w:r>
      </w:hyperlink>
      <w:r>
        <w:rPr>
          <w:sz w:val="24"/>
        </w:rPr>
        <w:t xml:space="preserve">, при проведении совместного аукциона должна быть одна независимая гарантия, в которой в качестве бенефициара указывается организатор совместной закупки. Согласно Извещению организатором Аукциона является Уполномоченный орган.</w:t>
      </w:r>
    </w:p>
    <w:p>
      <w:pPr>
        <w:pStyle w:val="0"/>
        <w:spacing w:before="240" w:lineRule="auto"/>
        <w:ind w:firstLine="540"/>
        <w:jc w:val="both"/>
      </w:pPr>
      <w:r>
        <w:rPr>
          <w:sz w:val="24"/>
        </w:rPr>
        <w:t xml:space="preserve">Вместе с тем в Независимых гарантиях, представленных Заявителем, в качестве бенефициаров указаны Заказчики, что не соответствует требованиям Типовой </w:t>
      </w:r>
      <w:hyperlink w:history="0" r:id="rId83"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4"/>
            <w:color w:val="0000ff"/>
          </w:rPr>
          <w:t xml:space="preserve">формы</w:t>
        </w:r>
      </w:hyperlink>
      <w:r>
        <w:rPr>
          <w:sz w:val="24"/>
        </w:rPr>
        <w:t xml:space="preserve">, предусмотренным </w:t>
      </w:r>
      <w:hyperlink w:history="0" r:id="rId84"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4"/>
            <w:color w:val="0000ff"/>
          </w:rPr>
          <w:t xml:space="preserve">сноской &lt;1-1&gt;</w:t>
        </w:r>
      </w:hyperlink>
      <w:r>
        <w:rPr>
          <w:sz w:val="24"/>
        </w:rPr>
        <w:t xml:space="preserve">.</w:t>
      </w:r>
    </w:p>
    <w:p>
      <w:pPr>
        <w:pStyle w:val="0"/>
        <w:spacing w:before="240" w:lineRule="auto"/>
        <w:ind w:firstLine="540"/>
        <w:jc w:val="both"/>
      </w:pPr>
      <w:r>
        <w:rPr>
          <w:sz w:val="24"/>
        </w:rPr>
        <w:t xml:space="preserve">Таким образом, Комиссией ФАС России установлено, что выданные Банками Независимые гарантии не соответствуют требованиям Извещения и </w:t>
      </w:r>
      <w:hyperlink w:history="0" r:id="rId8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Закона</w:t>
        </w:r>
      </w:hyperlink>
      <w:r>
        <w:rPr>
          <w:sz w:val="24"/>
        </w:rPr>
        <w:t xml:space="preserve"> о контрактной системе, что привело к отклонению Комиссией по осуществлению закупок заявки Заявителя.</w:t>
      </w:r>
    </w:p>
    <w:p>
      <w:pPr>
        <w:pStyle w:val="0"/>
        <w:spacing w:before="240" w:lineRule="auto"/>
        <w:ind w:firstLine="540"/>
        <w:jc w:val="both"/>
      </w:pPr>
      <w:r>
        <w:rPr>
          <w:sz w:val="24"/>
        </w:rPr>
        <w:t xml:space="preserve">Учитывая изложенное, Комиссия ФАС России пришла к выводу, что действия Банков, выдавших Заявителю Независимые гарантии, не соответствующие Типовой </w:t>
      </w:r>
      <w:hyperlink w:history="0" r:id="rId86"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4"/>
            <w:color w:val="0000ff"/>
          </w:rPr>
          <w:t xml:space="preserve">форме</w:t>
        </w:r>
      </w:hyperlink>
      <w:r>
        <w:rPr>
          <w:sz w:val="24"/>
        </w:rPr>
        <w:t xml:space="preserve">, нарушают положения </w:t>
      </w:r>
      <w:hyperlink w:history="0" r:id="rId8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части 8.2 статьи 45</w:t>
        </w:r>
      </w:hyperlink>
      <w:r>
        <w:rPr>
          <w:sz w:val="24"/>
        </w:rPr>
        <w:t xml:space="preserve"> Закона о контрактной системе и содержат признаки состава административного правонарушения, ответственность за совершение которого предусмотрена </w:t>
      </w:r>
      <w:hyperlink w:history="0" r:id="rId88"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частью 9 статьи 7.30.1</w:t>
        </w:r>
      </w:hyperlink>
      <w:r>
        <w:rPr>
          <w:sz w:val="24"/>
        </w:rPr>
        <w:t xml:space="preserve"> КоАП РФ.</w:t>
      </w:r>
    </w:p>
    <w:p>
      <w:pPr>
        <w:pStyle w:val="0"/>
        <w:spacing w:before="240" w:lineRule="auto"/>
        <w:ind w:firstLine="540"/>
        <w:jc w:val="both"/>
      </w:pPr>
      <w:r>
        <w:rPr>
          <w:sz w:val="24"/>
        </w:rPr>
        <w:t xml:space="preserve">Дополнительно Комиссия ФАС России отмечает, что, несмотря на обязанность банков выдавать независимые гарантии, используемые для целей </w:t>
      </w:r>
      <w:hyperlink w:history="0" r:id="rId8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Закона</w:t>
        </w:r>
      </w:hyperlink>
      <w:r>
        <w:rPr>
          <w:sz w:val="24"/>
        </w:rPr>
        <w:t xml:space="preserve"> о контрактной системы в качестве обеспечения заявок, исполнения контрактов, гарантийных обязательств, в строгом соответствии с соответствующей типовой формой, на условиях, определенных гражданским законодательством и </w:t>
      </w:r>
      <w:hyperlink w:history="0" r:id="rId9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статьей 45</w:t>
        </w:r>
      </w:hyperlink>
      <w:r>
        <w:rPr>
          <w:sz w:val="24"/>
        </w:rPr>
        <w:t xml:space="preserve"> Закона о контрактной системе, участнику закупки целесообразно также самостоятельно проводить проверку соответствия выданной банком независимой гарантии требованиям типовой формы в целях минимизации рисков отклонения заявки по формальным основаниям.</w:t>
      </w:r>
    </w:p>
    <w:p>
      <w:pPr>
        <w:pStyle w:val="0"/>
        <w:spacing w:before="240" w:lineRule="auto"/>
        <w:ind w:firstLine="540"/>
        <w:jc w:val="both"/>
      </w:pPr>
      <w:r>
        <w:rPr>
          <w:sz w:val="24"/>
        </w:rPr>
        <w:t xml:space="preserve">(</w:t>
      </w:r>
      <w:hyperlink w:history="0" r:id="rId91" w:tooltip="Ссылка на КонсультантПлюс">
        <w:r>
          <w:rPr>
            <w:sz w:val="24"/>
            <w:color w:val="0000ff"/>
          </w:rPr>
          <w:t xml:space="preserve">Решение</w:t>
        </w:r>
      </w:hyperlink>
      <w:r>
        <w:rPr>
          <w:sz w:val="24"/>
        </w:rPr>
        <w:t xml:space="preserve"> ФАС России от 21.05.2026 по делу N 28/06/105-1764/2026, </w:t>
      </w:r>
      <w:hyperlink w:history="0" r:id="rId92" w:tooltip="Ссылка на КонсультантПлюс">
        <w:r>
          <w:rPr>
            <w:sz w:val="24"/>
            <w:color w:val="0000ff"/>
          </w:rPr>
          <w:t xml:space="preserve">предписание</w:t>
        </w:r>
      </w:hyperlink>
      <w:r>
        <w:rPr>
          <w:sz w:val="24"/>
        </w:rPr>
        <w:t xml:space="preserve"> ФАС России от 21.05.2026 по делу N 28/06/105-1764/2026)</w:t>
      </w:r>
    </w:p>
    <w:p>
      <w:pPr>
        <w:pStyle w:val="0"/>
        <w:ind w:firstLine="540"/>
        <w:jc w:val="both"/>
      </w:pPr>
      <w:r>
        <w:rPr>
          <w:sz w:val="24"/>
        </w:rPr>
      </w:r>
    </w:p>
    <w:p>
      <w:pPr>
        <w:pStyle w:val="0"/>
        <w:jc w:val="right"/>
      </w:pPr>
      <w:r>
        <w:rPr>
          <w:sz w:val="24"/>
        </w:rPr>
        <w:t xml:space="preserve">Д.С. Бомбырь</w:t>
      </w:r>
    </w:p>
    <w:p>
      <w:pPr>
        <w:pStyle w:val="0"/>
        <w:jc w:val="right"/>
      </w:pPr>
      <w:r>
        <w:rPr>
          <w:sz w:val="24"/>
        </w:rPr>
        <w:t xml:space="preserve">Начальник Управления контроля размещения</w:t>
      </w:r>
    </w:p>
    <w:p>
      <w:pPr>
        <w:pStyle w:val="0"/>
        <w:jc w:val="right"/>
      </w:pPr>
      <w:r>
        <w:rPr>
          <w:sz w:val="24"/>
        </w:rPr>
        <w:t xml:space="preserve">государственного заказа ФАС России</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"Обзор практики рассмотрения жалоб на действия (бездействие) заказчика, уполномоченного органа (учреждения), специализир...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23.09.2026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95181&amp;date=23.09.2026" TargetMode = "External"/><Relationship Id="rId9" Type="http://schemas.openxmlformats.org/officeDocument/2006/relationships/hyperlink" Target="https://login.consultant.ru/link/?req=doc&amp;base=LAW&amp;n=495181&amp;date=23.09.2026&amp;dst=2304&amp;field=134" TargetMode = "External"/><Relationship Id="rId10" Type="http://schemas.openxmlformats.org/officeDocument/2006/relationships/hyperlink" Target="https://login.consultant.ru/link/?req=doc&amp;base=LAW&amp;n=495181&amp;date=23.09.2026" TargetMode = "External"/><Relationship Id="rId11" Type="http://schemas.openxmlformats.org/officeDocument/2006/relationships/hyperlink" Target="https://login.consultant.ru/link/?req=doc&amp;base=LAW&amp;n=495181&amp;date=23.09.2026&amp;dst=100386&amp;field=134" TargetMode = "External"/><Relationship Id="rId12" Type="http://schemas.openxmlformats.org/officeDocument/2006/relationships/hyperlink" Target="https://login.consultant.ru/link/?req=doc&amp;base=LAW&amp;n=495181&amp;date=23.09.2026&amp;dst=12213&amp;field=134" TargetMode = "External"/><Relationship Id="rId13" Type="http://schemas.openxmlformats.org/officeDocument/2006/relationships/hyperlink" Target="https://login.consultant.ru/link/?req=doc&amp;base=LAW&amp;n=495181&amp;date=23.09.2026&amp;dst=12213&amp;field=134" TargetMode = "External"/><Relationship Id="rId14" Type="http://schemas.openxmlformats.org/officeDocument/2006/relationships/hyperlink" Target="https://login.consultant.ru/link/?req=doc&amp;base=LAW&amp;n=495181&amp;date=23.09.2026&amp;dst=2304&amp;field=134" TargetMode = "External"/><Relationship Id="rId15" Type="http://schemas.openxmlformats.org/officeDocument/2006/relationships/hyperlink" Target="https://login.consultant.ru/link/?req=doc&amp;base=LAW&amp;n=535007&amp;date=23.09.2026&amp;dst=11261&amp;field=134" TargetMode = "External"/><Relationship Id="rId16" Type="http://schemas.openxmlformats.org/officeDocument/2006/relationships/hyperlink" Target="https://login.consultant.ru/link/?req=doc&amp;base=PAS&amp;n=1176011&amp;date=23.09.2026" TargetMode = "External"/><Relationship Id="rId17" Type="http://schemas.openxmlformats.org/officeDocument/2006/relationships/hyperlink" Target="https://login.consultant.ru/link/?req=doc&amp;base=PAS&amp;n=1176024&amp;date=23.09.2026" TargetMode = "External"/><Relationship Id="rId18" Type="http://schemas.openxmlformats.org/officeDocument/2006/relationships/hyperlink" Target="https://login.consultant.ru/link/?req=doc&amp;base=LAW&amp;n=495181&amp;date=23.09.2026" TargetMode = "External"/><Relationship Id="rId19" Type="http://schemas.openxmlformats.org/officeDocument/2006/relationships/hyperlink" Target="https://login.consultant.ru/link/?req=doc&amp;base=LAW&amp;n=495181&amp;date=23.09.2026" TargetMode = "External"/><Relationship Id="rId20" Type="http://schemas.openxmlformats.org/officeDocument/2006/relationships/hyperlink" Target="https://login.consultant.ru/link/?req=doc&amp;base=LAW&amp;n=495181&amp;date=23.09.2026&amp;dst=2303&amp;field=134" TargetMode = "External"/><Relationship Id="rId21" Type="http://schemas.openxmlformats.org/officeDocument/2006/relationships/hyperlink" Target="https://login.consultant.ru/link/?req=doc&amp;base=LAW&amp;n=495181&amp;date=23.09.2026" TargetMode = "External"/><Relationship Id="rId22" Type="http://schemas.openxmlformats.org/officeDocument/2006/relationships/hyperlink" Target="https://login.consultant.ru/link/?req=doc&amp;base=LAW&amp;n=495181&amp;date=23.09.2026&amp;dst=100386&amp;field=134" TargetMode = "External"/><Relationship Id="rId23" Type="http://schemas.openxmlformats.org/officeDocument/2006/relationships/hyperlink" Target="https://login.consultant.ru/link/?req=doc&amp;base=LAW&amp;n=495181&amp;date=23.09.2026&amp;dst=12451&amp;field=134" TargetMode = "External"/><Relationship Id="rId24" Type="http://schemas.openxmlformats.org/officeDocument/2006/relationships/hyperlink" Target="https://login.consultant.ru/link/?req=doc&amp;base=LAW&amp;n=495181&amp;date=23.09.2026" TargetMode = "External"/><Relationship Id="rId25" Type="http://schemas.openxmlformats.org/officeDocument/2006/relationships/hyperlink" Target="https://login.consultant.ru/link/?req=doc&amp;base=LAW&amp;n=495181&amp;date=23.09.2026" TargetMode = "External"/><Relationship Id="rId26" Type="http://schemas.openxmlformats.org/officeDocument/2006/relationships/hyperlink" Target="https://login.consultant.ru/link/?req=doc&amp;base=LAW&amp;n=495181&amp;date=23.09.2026" TargetMode = "External"/><Relationship Id="rId27" Type="http://schemas.openxmlformats.org/officeDocument/2006/relationships/hyperlink" Target="https://login.consultant.ru/link/?req=doc&amp;base=LAW&amp;n=2875&amp;date=23.09.2026&amp;dst=100044&amp;field=134" TargetMode = "External"/><Relationship Id="rId28" Type="http://schemas.openxmlformats.org/officeDocument/2006/relationships/hyperlink" Target="https://login.consultant.ru/link/?req=doc&amp;base=LAW&amp;n=495181&amp;date=23.09.2026&amp;dst=12191&amp;field=134" TargetMode = "External"/><Relationship Id="rId29" Type="http://schemas.openxmlformats.org/officeDocument/2006/relationships/hyperlink" Target="https://login.consultant.ru/link/?req=doc&amp;base=LAW&amp;n=495181&amp;date=23.09.2026&amp;dst=12191&amp;field=134" TargetMode = "External"/><Relationship Id="rId30" Type="http://schemas.openxmlformats.org/officeDocument/2006/relationships/hyperlink" Target="https://login.consultant.ru/link/?req=doc&amp;base=LAW&amp;n=495181&amp;date=23.09.2026" TargetMode = "External"/><Relationship Id="rId31" Type="http://schemas.openxmlformats.org/officeDocument/2006/relationships/hyperlink" Target="https://login.consultant.ru/link/?req=doc&amp;base=LAW&amp;n=495181&amp;date=23.09.2026&amp;dst=2304&amp;field=134" TargetMode = "External"/><Relationship Id="rId32" Type="http://schemas.openxmlformats.org/officeDocument/2006/relationships/hyperlink" Target="https://login.consultant.ru/link/?req=doc&amp;base=LAW&amp;n=535007&amp;date=23.09.2026&amp;dst=11259&amp;field=134" TargetMode = "External"/><Relationship Id="rId33" Type="http://schemas.openxmlformats.org/officeDocument/2006/relationships/hyperlink" Target="https://login.consultant.ru/link/?req=doc&amp;base=PAS&amp;n=1173899&amp;date=23.09.2026" TargetMode = "External"/><Relationship Id="rId34" Type="http://schemas.openxmlformats.org/officeDocument/2006/relationships/hyperlink" Target="https://login.consultant.ru/link/?req=doc&amp;base=PAS&amp;n=1176025&amp;date=23.09.2026" TargetMode = "External"/><Relationship Id="rId35" Type="http://schemas.openxmlformats.org/officeDocument/2006/relationships/hyperlink" Target="https://login.consultant.ru/link/?req=doc&amp;base=LAW&amp;n=495181&amp;date=23.09.2026&amp;dst=3050&amp;field=134" TargetMode = "External"/><Relationship Id="rId36" Type="http://schemas.openxmlformats.org/officeDocument/2006/relationships/hyperlink" Target="https://login.consultant.ru/link/?req=doc&amp;base=LAW&amp;n=495181&amp;date=23.09.2026&amp;dst=2308&amp;field=134" TargetMode = "External"/><Relationship Id="rId37" Type="http://schemas.openxmlformats.org/officeDocument/2006/relationships/hyperlink" Target="https://login.consultant.ru/link/?req=doc&amp;base=LAW&amp;n=495181&amp;date=23.09.2026" TargetMode = "External"/><Relationship Id="rId38" Type="http://schemas.openxmlformats.org/officeDocument/2006/relationships/hyperlink" Target="https://login.consultant.ru/link/?req=doc&amp;base=LAW&amp;n=495181&amp;date=23.09.2026&amp;dst=2240&amp;field=134" TargetMode = "External"/><Relationship Id="rId39" Type="http://schemas.openxmlformats.org/officeDocument/2006/relationships/hyperlink" Target="https://login.consultant.ru/link/?req=doc&amp;base=LAW&amp;n=444434&amp;date=23.09.2026&amp;dst=100151&amp;field=134" TargetMode = "External"/><Relationship Id="rId40" Type="http://schemas.openxmlformats.org/officeDocument/2006/relationships/hyperlink" Target="https://login.consultant.ru/link/?req=doc&amp;base=LAW&amp;n=495181&amp;date=23.09.2026&amp;dst=2240&amp;field=134" TargetMode = "External"/><Relationship Id="rId41" Type="http://schemas.openxmlformats.org/officeDocument/2006/relationships/hyperlink" Target="https://login.consultant.ru/link/?req=doc&amp;base=LAW&amp;n=535007&amp;date=23.09.2026&amp;dst=11259&amp;field=134" TargetMode = "External"/><Relationship Id="rId42" Type="http://schemas.openxmlformats.org/officeDocument/2006/relationships/hyperlink" Target="https://login.consultant.ru/link/?req=doc&amp;base=PAS&amp;n=1156329&amp;date=23.09.2026" TargetMode = "External"/><Relationship Id="rId43" Type="http://schemas.openxmlformats.org/officeDocument/2006/relationships/hyperlink" Target="https://login.consultant.ru/link/?req=doc&amp;base=PAS&amp;n=1156330&amp;date=23.09.2026" TargetMode = "External"/><Relationship Id="rId44" Type="http://schemas.openxmlformats.org/officeDocument/2006/relationships/hyperlink" Target="https://login.consultant.ru/link/?req=doc&amp;base=LAW&amp;n=495181&amp;date=23.09.2026&amp;dst=2304&amp;field=134" TargetMode = "External"/><Relationship Id="rId45" Type="http://schemas.openxmlformats.org/officeDocument/2006/relationships/hyperlink" Target="https://login.consultant.ru/link/?req=doc&amp;base=LAW&amp;n=495181&amp;date=23.09.2026" TargetMode = "External"/><Relationship Id="rId46" Type="http://schemas.openxmlformats.org/officeDocument/2006/relationships/hyperlink" Target="https://login.consultant.ru/link/?req=doc&amp;base=LAW&amp;n=495181&amp;date=23.09.2026&amp;dst=100386&amp;field=134" TargetMode = "External"/><Relationship Id="rId47" Type="http://schemas.openxmlformats.org/officeDocument/2006/relationships/hyperlink" Target="https://login.consultant.ru/link/?req=doc&amp;base=LAW&amp;n=495181&amp;date=23.09.2026&amp;dst=12213&amp;field=134" TargetMode = "External"/><Relationship Id="rId48" Type="http://schemas.openxmlformats.org/officeDocument/2006/relationships/hyperlink" Target="https://login.consultant.ru/link/?req=doc&amp;base=LAW&amp;n=495181&amp;date=23.09.2026" TargetMode = "External"/><Relationship Id="rId49" Type="http://schemas.openxmlformats.org/officeDocument/2006/relationships/hyperlink" Target="https://login.consultant.ru/link/?req=doc&amp;base=LAW&amp;n=495181&amp;date=23.09.2026&amp;dst=2229&amp;field=134" TargetMode = "External"/><Relationship Id="rId50" Type="http://schemas.openxmlformats.org/officeDocument/2006/relationships/hyperlink" Target="https://login.consultant.ru/link/?req=doc&amp;base=LAW&amp;n=495181&amp;date=23.09.2026&amp;dst=2235&amp;field=134" TargetMode = "External"/><Relationship Id="rId51" Type="http://schemas.openxmlformats.org/officeDocument/2006/relationships/hyperlink" Target="https://login.consultant.ru/link/?req=doc&amp;base=LAW&amp;n=495181&amp;date=23.09.2026" TargetMode = "External"/><Relationship Id="rId52" Type="http://schemas.openxmlformats.org/officeDocument/2006/relationships/hyperlink" Target="https://reestr.digital.gov.ru/reestr/305101/" TargetMode = "External"/><Relationship Id="rId53" Type="http://schemas.openxmlformats.org/officeDocument/2006/relationships/hyperlink" Target="https://reestr.digital.gov.ru/reestr/308279/" TargetMode = "External"/><Relationship Id="rId54" Type="http://schemas.openxmlformats.org/officeDocument/2006/relationships/hyperlink" Target="https://login.consultant.ru/link/?req=doc&amp;base=LAW&amp;n=495181&amp;date=23.09.2026&amp;dst=100098&amp;field=134" TargetMode = "External"/><Relationship Id="rId55" Type="http://schemas.openxmlformats.org/officeDocument/2006/relationships/hyperlink" Target="https://login.consultant.ru/link/?req=doc&amp;base=LAW&amp;n=495181&amp;date=23.09.2026&amp;dst=2304&amp;field=134" TargetMode = "External"/><Relationship Id="rId56" Type="http://schemas.openxmlformats.org/officeDocument/2006/relationships/hyperlink" Target="https://login.consultant.ru/link/?req=doc&amp;base=LAW&amp;n=535007&amp;date=23.09.2026&amp;dst=11259&amp;field=134" TargetMode = "External"/><Relationship Id="rId57" Type="http://schemas.openxmlformats.org/officeDocument/2006/relationships/hyperlink" Target="https://login.consultant.ru/link/?req=doc&amp;base=PAS&amp;n=1176012&amp;date=23.09.2026" TargetMode = "External"/><Relationship Id="rId58" Type="http://schemas.openxmlformats.org/officeDocument/2006/relationships/hyperlink" Target="https://login.consultant.ru/link/?req=doc&amp;base=LAW&amp;n=495181&amp;date=23.09.2026" TargetMode = "External"/><Relationship Id="rId59" Type="http://schemas.openxmlformats.org/officeDocument/2006/relationships/hyperlink" Target="https://login.consultant.ru/link/?req=doc&amp;base=LAW&amp;n=495181&amp;date=23.09.2026&amp;dst=2442&amp;field=134" TargetMode = "External"/><Relationship Id="rId60" Type="http://schemas.openxmlformats.org/officeDocument/2006/relationships/hyperlink" Target="https://login.consultant.ru/link/?req=doc&amp;base=LAW&amp;n=495181&amp;date=23.09.2026&amp;dst=330&amp;field=134" TargetMode = "External"/><Relationship Id="rId61" Type="http://schemas.openxmlformats.org/officeDocument/2006/relationships/hyperlink" Target="https://login.consultant.ru/link/?req=doc&amp;base=LAW&amp;n=495181&amp;date=23.09.2026&amp;dst=2463&amp;field=134" TargetMode = "External"/><Relationship Id="rId62" Type="http://schemas.openxmlformats.org/officeDocument/2006/relationships/hyperlink" Target="https://login.consultant.ru/link/?req=doc&amp;base=LAW&amp;n=495181&amp;date=23.09.2026" TargetMode = "External"/><Relationship Id="rId63" Type="http://schemas.openxmlformats.org/officeDocument/2006/relationships/hyperlink" Target="https://login.consultant.ru/link/?req=doc&amp;base=LAW&amp;n=495181&amp;date=23.09.2026&amp;dst=2465&amp;field=134" TargetMode = "External"/><Relationship Id="rId64" Type="http://schemas.openxmlformats.org/officeDocument/2006/relationships/hyperlink" Target="https://login.consultant.ru/link/?req=doc&amp;base=LAW&amp;n=495181&amp;date=23.09.2026" TargetMode = "External"/><Relationship Id="rId65" Type="http://schemas.openxmlformats.org/officeDocument/2006/relationships/hyperlink" Target="https://login.consultant.ru/link/?req=doc&amp;base=LAW&amp;n=495181&amp;date=23.09.2026&amp;dst=2468&amp;field=134" TargetMode = "External"/><Relationship Id="rId66" Type="http://schemas.openxmlformats.org/officeDocument/2006/relationships/hyperlink" Target="https://login.consultant.ru/link/?req=doc&amp;base=LAW&amp;n=495181&amp;date=23.09.2026&amp;dst=2466&amp;field=134" TargetMode = "External"/><Relationship Id="rId67" Type="http://schemas.openxmlformats.org/officeDocument/2006/relationships/hyperlink" Target="https://login.consultant.ru/link/?req=doc&amp;base=LAW&amp;n=495181&amp;date=23.09.2026&amp;dst=12069&amp;field=134" TargetMode = "External"/><Relationship Id="rId68" Type="http://schemas.openxmlformats.org/officeDocument/2006/relationships/hyperlink" Target="https://login.consultant.ru/link/?req=doc&amp;base=LAW&amp;n=495181&amp;date=23.09.2026&amp;dst=12069&amp;field=134" TargetMode = "External"/><Relationship Id="rId69" Type="http://schemas.openxmlformats.org/officeDocument/2006/relationships/hyperlink" Target="https://login.consultant.ru/link/?req=doc&amp;base=LAW&amp;n=495181&amp;date=23.09.2026" TargetMode = "External"/><Relationship Id="rId70" Type="http://schemas.openxmlformats.org/officeDocument/2006/relationships/hyperlink" Target="https://login.consultant.ru/link/?req=doc&amp;base=LAW&amp;n=495181&amp;date=23.09.2026" TargetMode = "External"/><Relationship Id="rId71" Type="http://schemas.openxmlformats.org/officeDocument/2006/relationships/hyperlink" Target="https://login.consultant.ru/link/?req=doc&amp;base=LAW&amp;n=494937&amp;date=23.09.2026" TargetMode = "External"/><Relationship Id="rId72" Type="http://schemas.openxmlformats.org/officeDocument/2006/relationships/hyperlink" Target="https://login.consultant.ru/link/?req=doc&amp;base=LAW&amp;n=494937&amp;date=23.09.2026&amp;dst=34&amp;field=134" TargetMode = "External"/><Relationship Id="rId73" Type="http://schemas.openxmlformats.org/officeDocument/2006/relationships/hyperlink" Target="https://login.consultant.ru/link/?req=doc&amp;base=LAW&amp;n=494937&amp;date=23.09.2026&amp;dst=114&amp;field=134" TargetMode = "External"/><Relationship Id="rId74" Type="http://schemas.openxmlformats.org/officeDocument/2006/relationships/hyperlink" Target="https://login.consultant.ru/link/?req=doc&amp;base=LAW&amp;n=494937&amp;date=23.09.2026&amp;dst=249&amp;field=134" TargetMode = "External"/><Relationship Id="rId75" Type="http://schemas.openxmlformats.org/officeDocument/2006/relationships/hyperlink" Target="https://login.consultant.ru/link/?req=doc&amp;base=LAW&amp;n=494937&amp;date=23.09.2026&amp;dst=114&amp;field=134" TargetMode = "External"/><Relationship Id="rId76" Type="http://schemas.openxmlformats.org/officeDocument/2006/relationships/hyperlink" Target="https://login.consultant.ru/link/?req=doc&amp;base=LAW&amp;n=495181&amp;date=23.09.2026&amp;dst=2440&amp;field=134" TargetMode = "External"/><Relationship Id="rId77" Type="http://schemas.openxmlformats.org/officeDocument/2006/relationships/hyperlink" Target="https://login.consultant.ru/link/?req=doc&amp;base=LAW&amp;n=494937&amp;date=23.09.2026&amp;dst=34&amp;field=134" TargetMode = "External"/><Relationship Id="rId78" Type="http://schemas.openxmlformats.org/officeDocument/2006/relationships/hyperlink" Target="https://login.consultant.ru/link/?req=doc&amp;base=LAW&amp;n=494937&amp;date=23.09.2026&amp;dst=114&amp;field=134" TargetMode = "External"/><Relationship Id="rId79" Type="http://schemas.openxmlformats.org/officeDocument/2006/relationships/hyperlink" Target="https://login.consultant.ru/link/?req=doc&amp;base=LAW&amp;n=495181&amp;date=23.09.2026&amp;dst=2526&amp;field=134" TargetMode = "External"/><Relationship Id="rId80" Type="http://schemas.openxmlformats.org/officeDocument/2006/relationships/hyperlink" Target="https://login.consultant.ru/link/?req=doc&amp;base=LAW&amp;n=494937&amp;date=23.09.2026&amp;dst=114&amp;field=134" TargetMode = "External"/><Relationship Id="rId81" Type="http://schemas.openxmlformats.org/officeDocument/2006/relationships/hyperlink" Target="https://login.consultant.ru/link/?req=doc&amp;base=LAW&amp;n=494937&amp;date=23.09.2026&amp;dst=254&amp;field=134" TargetMode = "External"/><Relationship Id="rId82" Type="http://schemas.openxmlformats.org/officeDocument/2006/relationships/hyperlink" Target="https://login.consultant.ru/link/?req=doc&amp;base=LAW&amp;n=494937&amp;date=23.09.2026&amp;dst=114&amp;field=134" TargetMode = "External"/><Relationship Id="rId83" Type="http://schemas.openxmlformats.org/officeDocument/2006/relationships/hyperlink" Target="https://login.consultant.ru/link/?req=doc&amp;base=LAW&amp;n=494937&amp;date=23.09.2026&amp;dst=114&amp;field=134" TargetMode = "External"/><Relationship Id="rId84" Type="http://schemas.openxmlformats.org/officeDocument/2006/relationships/hyperlink" Target="https://login.consultant.ru/link/?req=doc&amp;base=LAW&amp;n=494937&amp;date=23.09.2026&amp;dst=254&amp;field=134" TargetMode = "External"/><Relationship Id="rId85" Type="http://schemas.openxmlformats.org/officeDocument/2006/relationships/hyperlink" Target="https://login.consultant.ru/link/?req=doc&amp;base=LAW&amp;n=495181&amp;date=23.09.2026" TargetMode = "External"/><Relationship Id="rId86" Type="http://schemas.openxmlformats.org/officeDocument/2006/relationships/hyperlink" Target="https://login.consultant.ru/link/?req=doc&amp;base=LAW&amp;n=494937&amp;date=23.09.2026&amp;dst=114&amp;field=134" TargetMode = "External"/><Relationship Id="rId87" Type="http://schemas.openxmlformats.org/officeDocument/2006/relationships/hyperlink" Target="https://login.consultant.ru/link/?req=doc&amp;base=LAW&amp;n=495181&amp;date=23.09.2026&amp;dst=12069&amp;field=134" TargetMode = "External"/><Relationship Id="rId88" Type="http://schemas.openxmlformats.org/officeDocument/2006/relationships/hyperlink" Target="https://login.consultant.ru/link/?req=doc&amp;base=LAW&amp;n=535007&amp;date=23.09.2026&amp;dst=11267&amp;field=134" TargetMode = "External"/><Relationship Id="rId89" Type="http://schemas.openxmlformats.org/officeDocument/2006/relationships/hyperlink" Target="https://login.consultant.ru/link/?req=doc&amp;base=LAW&amp;n=495181&amp;date=23.09.2026" TargetMode = "External"/><Relationship Id="rId90" Type="http://schemas.openxmlformats.org/officeDocument/2006/relationships/hyperlink" Target="https://login.consultant.ru/link/?req=doc&amp;base=LAW&amp;n=495181&amp;date=23.09.2026&amp;dst=2440&amp;field=134" TargetMode = "External"/><Relationship Id="rId91" Type="http://schemas.openxmlformats.org/officeDocument/2006/relationships/hyperlink" Target="https://login.consultant.ru/link/?req=doc&amp;base=PAS&amp;n=1168409&amp;date=23.09.2026" TargetMode = "External"/><Relationship Id="rId92" Type="http://schemas.openxmlformats.org/officeDocument/2006/relationships/hyperlink" Target="https://login.consultant.ru/link/?req=doc&amp;base=PAS&amp;n=1168410&amp;date=23.09.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4026.00.30</Application>
  <Company>КонсультантПлюс Версия 4026.00.30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практики рассмотрения жалоб на действия (бездействие) заказчика, уполномоченного органа (учреждения), специализированной организации, комиссии по осуществлению закупок, должностного лица контрактной службы, контрактного управляющего, оператора электронной площадки при проведении закупок в соответствии с положениями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(май 2026 года)"
(Управ</dc:title>
  <dcterms:created xsi:type="dcterms:W3CDTF">2026-09-23T06:21:49Z</dcterms:created>
</cp:coreProperties>
</file>