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судебной практики в сфере закупок для государственных и муниципальных нужд (февраль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СУДЕБНОЙ ПРАКТИКИ В СФЕРЕ ЗАКУПОК</w:t>
      </w:r>
    </w:p>
    <w:p>
      <w:pPr>
        <w:pStyle w:val="2"/>
        <w:jc w:val="center"/>
      </w:pPr>
      <w:r>
        <w:rPr>
          <w:sz w:val="24"/>
        </w:rPr>
        <w:t xml:space="preserve">ДЛЯ ГОСУДАРСТВЕННЫХ И МУНИЦИПАЛЬНЫХ НУЖД</w:t>
      </w:r>
    </w:p>
    <w:p>
      <w:pPr>
        <w:pStyle w:val="2"/>
        <w:jc w:val="center"/>
      </w:pPr>
      <w:r>
        <w:rPr>
          <w:sz w:val="24"/>
        </w:rPr>
        <w:t xml:space="preserve">(ФЕВРАЛЬ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28 февраля 2026 года</w:t>
      </w:r>
    </w:p>
    <w:p>
      <w:pPr>
        <w:pStyle w:val="0"/>
        <w:ind w:firstLine="540"/>
        <w:jc w:val="both"/>
      </w:pPr>
      <w:r>
        <w:rPr>
          <w:sz w:val="24"/>
        </w:rPr>
      </w:r>
    </w:p>
    <w:p>
      <w:pPr>
        <w:pStyle w:val="2"/>
        <w:outlineLvl w:val="0"/>
        <w:ind w:firstLine="540"/>
        <w:jc w:val="both"/>
      </w:pPr>
      <w:r>
        <w:rPr>
          <w:sz w:val="24"/>
        </w:rPr>
        <w:t xml:space="preserve">1. Неприменение отдельных положений Типового </w:t>
      </w:r>
      <w:hyperlink w:history="0" r:id="rId8"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контракта</w:t>
        </w:r>
      </w:hyperlink>
      <w:r>
        <w:rPr>
          <w:sz w:val="24"/>
        </w:rPr>
        <w:t xml:space="preserve"> является нарушением требований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ind w:firstLine="540"/>
        <w:jc w:val="both"/>
      </w:pPr>
      <w:r>
        <w:rPr>
          <w:sz w:val="24"/>
        </w:rPr>
      </w:r>
    </w:p>
    <w:p>
      <w:pPr>
        <w:pStyle w:val="0"/>
        <w:ind w:firstLine="540"/>
        <w:jc w:val="both"/>
      </w:pPr>
      <w:r>
        <w:rPr>
          <w:sz w:val="24"/>
        </w:rPr>
        <w:t xml:space="preserve">ФАС России проведена внеплановая проверка соблюдения законодательства Российской Федерации о контрактной системе в сфере закупок при проведении ГКУ (далее - Заказчик), Комитетом по государственному заказу (далее - Уполномоченный орган), АО "АГЗ РТ" (далее - Оператор электронной площадки) электронного аукциона на право заключения контракта на поставку оборудования для государственных нужд Санкт-Петербурга (далее - Извещение).</w:t>
      </w:r>
    </w:p>
    <w:p>
      <w:pPr>
        <w:pStyle w:val="0"/>
        <w:spacing w:before="240" w:lineRule="auto"/>
        <w:ind w:firstLine="540"/>
        <w:jc w:val="both"/>
      </w:pPr>
      <w:r>
        <w:rPr>
          <w:sz w:val="24"/>
        </w:rPr>
        <w:t xml:space="preserve">По мнению Заявителя, Заказчиком, Уполномоченным органом допущено нарушение, выразившееся в неприменении Типового </w:t>
      </w:r>
      <w:hyperlink w:history="0" r:id="rId10"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контракта</w:t>
        </w:r>
      </w:hyperlink>
      <w:r>
        <w:rPr>
          <w:sz w:val="24"/>
        </w:rPr>
        <w:t xml:space="preserve">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утвержденного Приказом Минпромторга России от 07.04.2020 N 1152 (далее - Типовой контракт, Приказ N 1152).</w:t>
      </w:r>
    </w:p>
    <w:p>
      <w:pPr>
        <w:pStyle w:val="0"/>
        <w:spacing w:before="240" w:lineRule="auto"/>
        <w:ind w:firstLine="540"/>
        <w:jc w:val="both"/>
      </w:pPr>
      <w:r>
        <w:rPr>
          <w:sz w:val="24"/>
        </w:rPr>
        <w:t xml:space="preserve">В соответствии с </w:t>
      </w: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2 статьи 42</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по тексту настоящего обзора - Закон о контрактной системе) извещение об осуществлении закупки, если иное не предусмотрено </w:t>
      </w: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проект контракта.</w:t>
      </w:r>
    </w:p>
    <w:p>
      <w:pPr>
        <w:pStyle w:val="0"/>
        <w:spacing w:before="240" w:lineRule="auto"/>
        <w:ind w:firstLine="540"/>
        <w:jc w:val="both"/>
      </w:pP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11 статьи 34</w:t>
        </w:r>
      </w:hyperlink>
      <w:r>
        <w:rPr>
          <w:sz w:val="24"/>
        </w:rPr>
        <w:t xml:space="preserve"> Закона о контрактной системе установлено, что Правительство Российской Федерации вправе установить типовые условия контрактов, подлежащие применению заказчиками при осуществлении закупок.</w:t>
      </w:r>
    </w:p>
    <w:p>
      <w:pPr>
        <w:pStyle w:val="0"/>
        <w:spacing w:before="240" w:lineRule="auto"/>
        <w:ind w:firstLine="540"/>
        <w:jc w:val="both"/>
      </w:pPr>
      <w:r>
        <w:rPr>
          <w:sz w:val="24"/>
        </w:rPr>
        <w:t xml:space="preserve">Вместе с тем условия типовых контрактов и типовые условия контрактов, утвержденные до дня вступления в силу изменений в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11 статьи 34</w:t>
        </w:r>
      </w:hyperlink>
      <w:r>
        <w:rPr>
          <w:sz w:val="24"/>
        </w:rPr>
        <w:t xml:space="preserve"> Закона о контрактной системе (внесены Федеральным </w:t>
      </w:r>
      <w:hyperlink w:history="0" r:id="rId15" w:tooltip="Федеральный закон от 02.07.2021 N 360-ФЗ (ред. от 26.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360-ФЗ), применяются в части, не противоречащей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Закону</w:t>
        </w:r>
      </w:hyperlink>
      <w:r>
        <w:rPr>
          <w:sz w:val="24"/>
        </w:rPr>
        <w:t xml:space="preserve"> о контрактной системе, до утверждения Правительством Российской Федерации соответствующих типовых условий контрактов.</w:t>
      </w:r>
    </w:p>
    <w:p>
      <w:pPr>
        <w:pStyle w:val="0"/>
        <w:spacing w:before="240" w:lineRule="auto"/>
        <w:ind w:firstLine="540"/>
        <w:jc w:val="both"/>
      </w:pPr>
      <w:r>
        <w:rPr>
          <w:sz w:val="24"/>
        </w:rPr>
        <w:t xml:space="preserve">Приказом N 1152 утверждена форма Типового </w:t>
      </w:r>
      <w:hyperlink w:history="0" r:id="rId17"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контракта</w:t>
        </w:r>
      </w:hyperlink>
      <w:r>
        <w:rPr>
          <w:sz w:val="24"/>
        </w:rPr>
        <w:t xml:space="preserve">, который применяется при закупке радиоэлектронной продукции.</w:t>
      </w:r>
    </w:p>
    <w:p>
      <w:pPr>
        <w:pStyle w:val="0"/>
        <w:spacing w:before="240" w:lineRule="auto"/>
        <w:ind w:firstLine="540"/>
        <w:jc w:val="both"/>
      </w:pPr>
      <w:r>
        <w:rPr>
          <w:sz w:val="24"/>
        </w:rPr>
        <w:t xml:space="preserve">В соответствии с информационной </w:t>
      </w:r>
      <w:hyperlink w:history="0" r:id="rId18"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картой</w:t>
        </w:r>
      </w:hyperlink>
      <w:r>
        <w:rPr>
          <w:sz w:val="24"/>
        </w:rPr>
        <w:t xml:space="preserve"> Типового контракта, размещенной в библиотеке типовых контрактов в ЕИС (номер типового контракта в ЕИС - 1400700000520009), Типовой </w:t>
      </w:r>
      <w:hyperlink w:history="0" r:id="rId19"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контракт</w:t>
        </w:r>
      </w:hyperlink>
      <w:r>
        <w:rPr>
          <w:sz w:val="24"/>
        </w:rPr>
        <w:t xml:space="preserve"> применяется в том числе при осуществлении закупок с кодом ОКПД2 </w:t>
      </w:r>
      <w:hyperlink w:history="0" r:id="rId20"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rPr>
          <w:t xml:space="preserve">26.2</w:t>
        </w:r>
      </w:hyperlink>
      <w:r>
        <w:rPr>
          <w:sz w:val="24"/>
        </w:rPr>
        <w:t xml:space="preserve"> (за исключением кода ОКПД2 </w:t>
      </w:r>
      <w:hyperlink w:history="0" r:id="rId21"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rPr>
          <w:t xml:space="preserve">26.20.9</w:t>
        </w:r>
      </w:hyperlink>
      <w:r>
        <w:rPr>
          <w:sz w:val="24"/>
        </w:rPr>
        <w:t xml:space="preserve">).</w:t>
      </w:r>
    </w:p>
    <w:p>
      <w:pPr>
        <w:pStyle w:val="0"/>
        <w:spacing w:before="240" w:lineRule="auto"/>
        <w:ind w:firstLine="540"/>
        <w:jc w:val="both"/>
      </w:pPr>
      <w:r>
        <w:rPr>
          <w:sz w:val="24"/>
        </w:rPr>
        <w:t xml:space="preserve">Согласно Извещению Заказчиком определен код КТРУ "26.20.14.000-00000189", а также код ОКПД2 </w:t>
      </w:r>
      <w:hyperlink w:history="0" r:id="rId22"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rPr>
          <w:t xml:space="preserve">26.20.14.120</w:t>
        </w:r>
      </w:hyperlink>
      <w:r>
        <w:rPr>
          <w:sz w:val="24"/>
        </w:rPr>
        <w:t xml:space="preserve"> "Серверы (однопроцессорные, двухпроцессорные)".</w:t>
      </w:r>
    </w:p>
    <w:p>
      <w:pPr>
        <w:pStyle w:val="0"/>
        <w:spacing w:before="240" w:lineRule="auto"/>
        <w:ind w:firstLine="540"/>
        <w:jc w:val="both"/>
      </w:pPr>
      <w:r>
        <w:rPr>
          <w:sz w:val="24"/>
        </w:rPr>
        <w:t xml:space="preserve">Комиссия ФАС России изучила положения Извещения и пришла к выводу, что при формировании проекта контракта Заказчиком, Уполномоченным органом неправомерно не применены положения Типового </w:t>
      </w:r>
      <w:hyperlink w:history="0" r:id="rId23"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контракта</w:t>
        </w:r>
      </w:hyperlink>
      <w:r>
        <w:rPr>
          <w:sz w:val="24"/>
        </w:rPr>
        <w:t xml:space="preserve">, а именно проектом контракта не установлено право поставщика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0"/>
        <w:spacing w:before="240" w:lineRule="auto"/>
        <w:ind w:firstLine="540"/>
        <w:jc w:val="both"/>
      </w:pPr>
      <w:r>
        <w:rPr>
          <w:sz w:val="24"/>
        </w:rPr>
        <w:t xml:space="preserve">Данное условие предусмотрено </w:t>
      </w:r>
      <w:hyperlink w:history="0" r:id="rId24"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rPr>
          <w:t xml:space="preserve">пунктом 4.2.6</w:t>
        </w:r>
      </w:hyperlink>
      <w:r>
        <w:rPr>
          <w:sz w:val="24"/>
        </w:rPr>
        <w:t xml:space="preserve"> Типового контракта.</w:t>
      </w:r>
    </w:p>
    <w:p>
      <w:pPr>
        <w:pStyle w:val="0"/>
        <w:spacing w:before="240" w:lineRule="auto"/>
        <w:ind w:firstLine="540"/>
        <w:jc w:val="both"/>
      </w:pPr>
      <w:r>
        <w:rPr>
          <w:sz w:val="24"/>
        </w:rPr>
        <w:t xml:space="preserve">Таким образом, в действиях Заказчика, Уполномоченного органа установлены нарушение </w:t>
      </w:r>
      <w:hyperlink w:history="0" r:id="rId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11 статьи 34</w:t>
        </w:r>
      </w:hyperlink>
      <w:r>
        <w:rPr>
          <w:sz w:val="24"/>
        </w:rPr>
        <w:t xml:space="preserve"> Закона о контрактной системе, а также признаки административного правонарушения, ответственность за совершение которого предусмотрена </w:t>
      </w:r>
      <w:hyperlink w:history="0" r:id="rId26"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1.4 статьи 7.30</w:t>
        </w:r>
      </w:hyperlink>
      <w:r>
        <w:rPr>
          <w:sz w:val="24"/>
        </w:rPr>
        <w:t xml:space="preserve"> КоАП. Выдано предписание об устранении нарушений.</w:t>
      </w:r>
    </w:p>
    <w:p>
      <w:pPr>
        <w:pStyle w:val="0"/>
        <w:spacing w:before="240" w:lineRule="auto"/>
        <w:ind w:firstLine="540"/>
        <w:jc w:val="both"/>
      </w:pPr>
      <w:r>
        <w:rPr>
          <w:sz w:val="24"/>
        </w:rPr>
        <w:t xml:space="preserve">Заказчик, не согласившись с </w:t>
      </w:r>
      <w:hyperlink w:history="0" r:id="rId27" w:tooltip="Ссылка на КонсультантПлюс">
        <w:r>
          <w:rPr>
            <w:sz w:val="24"/>
            <w:color w:val="0000ff"/>
          </w:rPr>
          <w:t xml:space="preserve">решением</w:t>
        </w:r>
      </w:hyperlink>
      <w:r>
        <w:rPr>
          <w:sz w:val="24"/>
        </w:rPr>
        <w:t xml:space="preserve"> и предписанием ФАС России, обжаловал их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28" w:tooltip="Ссылка на КонсультантПлюс">
        <w:r>
          <w:rPr>
            <w:sz w:val="24"/>
            <w:color w:val="0000ff"/>
          </w:rPr>
          <w:t xml:space="preserve">решение</w:t>
        </w:r>
      </w:hyperlink>
      <w:r>
        <w:rPr>
          <w:sz w:val="24"/>
        </w:rPr>
        <w:t xml:space="preserve"> и предписание ФАС России признаны законными и обоснованными. В части доводов Заказчика отмечено:</w:t>
      </w:r>
    </w:p>
    <w:p>
      <w:pPr>
        <w:pStyle w:val="0"/>
        <w:spacing w:before="240" w:lineRule="auto"/>
        <w:ind w:firstLine="540"/>
        <w:jc w:val="both"/>
      </w:pPr>
      <w:r>
        <w:rPr>
          <w:sz w:val="24"/>
          <w:i w:val="on"/>
        </w:rPr>
        <w:t xml:space="preserve">"...Доводы Заявителя о том, что невключение в проект контракта условия, предусмотренного </w:t>
      </w:r>
      <w:hyperlink w:history="0" r:id="rId29"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i w:val="on"/>
          </w:rPr>
          <w:t xml:space="preserve">пунктом 4.2.6</w:t>
        </w:r>
      </w:hyperlink>
      <w:r>
        <w:rPr>
          <w:sz w:val="24"/>
          <w:i w:val="on"/>
        </w:rPr>
        <w:t xml:space="preserve"> Типового контракта, не означает невозможность поставки по согласованию с Заказчиком товара с "улучшенными" характеристиками, противоречат нормам материального права.</w:t>
      </w:r>
    </w:p>
    <w:p>
      <w:pPr>
        <w:pStyle w:val="0"/>
        <w:spacing w:before="240" w:lineRule="auto"/>
        <w:ind w:firstLine="540"/>
        <w:jc w:val="both"/>
      </w:pPr>
      <w:r>
        <w:rPr>
          <w:sz w:val="24"/>
          <w:i w:val="on"/>
        </w:rPr>
        <w:t xml:space="preserve">...Положения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части 1 статьи 34</w:t>
        </w:r>
      </w:hyperlink>
      <w:r>
        <w:rPr>
          <w:sz w:val="24"/>
          <w:i w:val="on"/>
        </w:rPr>
        <w:t xml:space="preserve"> Закона о контрактной системе формируют правоустанавливающую взаимосвязь между юридическим фактом заключения контракта и условиями, содержащимися, в частности, в извещении об осуществлении закупки, проекте контракта, следовательно, определяют строгий и постоянный характер такой правовой связи, в том числе при исполнении контракта.</w:t>
      </w:r>
    </w:p>
    <w:p>
      <w:pPr>
        <w:pStyle w:val="0"/>
        <w:spacing w:before="240" w:lineRule="auto"/>
        <w:ind w:firstLine="540"/>
        <w:jc w:val="both"/>
      </w:pPr>
      <w:r>
        <w:rPr>
          <w:sz w:val="24"/>
          <w:i w:val="on"/>
        </w:rPr>
        <w:t xml:space="preserve">Кроме того,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частью 1 статьи 95</w:t>
        </w:r>
      </w:hyperlink>
      <w:r>
        <w:rPr>
          <w:sz w:val="24"/>
          <w:i w:val="on"/>
        </w:rPr>
        <w:t xml:space="preserve"> Закона о контрактной системе предусмотрено, что изменение существенных условий контракта при его исполнении не допускается, за исключением их изменения по соглашению сторон в случаях, определенных </w:t>
      </w:r>
      <w:hyperlink w:history="0"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статье 95</w:t>
        </w:r>
      </w:hyperlink>
      <w:r>
        <w:rPr>
          <w:sz w:val="24"/>
          <w:i w:val="on"/>
        </w:rPr>
        <w:t xml:space="preserve"> Закона о контрактной системе.</w:t>
      </w:r>
    </w:p>
    <w:p>
      <w:pPr>
        <w:pStyle w:val="0"/>
        <w:spacing w:before="240" w:lineRule="auto"/>
        <w:ind w:firstLine="540"/>
        <w:jc w:val="both"/>
      </w:pPr>
      <w:r>
        <w:rPr>
          <w:sz w:val="24"/>
          <w:i w:val="on"/>
        </w:rPr>
        <w:t xml:space="preserve">С учетом изложенного, невключение названного </w:t>
      </w:r>
      <w:hyperlink w:history="0" r:id="rId33"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i w:val="on"/>
          </w:rPr>
          <w:t xml:space="preserve">пункта</w:t>
        </w:r>
      </w:hyperlink>
      <w:r>
        <w:rPr>
          <w:sz w:val="24"/>
          <w:i w:val="on"/>
        </w:rPr>
        <w:t xml:space="preserve"> Типового контракта в проект контракта не предполагает его действие по умолчанию".</w:t>
      </w:r>
    </w:p>
    <w:p>
      <w:pPr>
        <w:pStyle w:val="0"/>
        <w:spacing w:before="240" w:lineRule="auto"/>
        <w:ind w:firstLine="540"/>
        <w:jc w:val="both"/>
      </w:pPr>
      <w:r>
        <w:rPr>
          <w:sz w:val="24"/>
        </w:rPr>
        <w:t xml:space="preserve">Арбитражный суд Московского округа, оставляя в силе решение суда первой инстанции, пришел к следующим выводам:</w:t>
      </w:r>
    </w:p>
    <w:p>
      <w:pPr>
        <w:pStyle w:val="0"/>
        <w:spacing w:before="240" w:lineRule="auto"/>
        <w:ind w:firstLine="540"/>
        <w:jc w:val="both"/>
      </w:pPr>
      <w:r>
        <w:rPr>
          <w:sz w:val="24"/>
          <w:i w:val="on"/>
        </w:rPr>
        <w:t xml:space="preserve">"...В соответствии с информационной картой типового контракта (</w:t>
      </w:r>
      <w:hyperlink w:history="0" r:id="rId34"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i w:val="on"/>
          </w:rPr>
          <w:t xml:space="preserve">приложение N 6</w:t>
        </w:r>
      </w:hyperlink>
      <w:r>
        <w:rPr>
          <w:sz w:val="24"/>
          <w:i w:val="on"/>
        </w:rPr>
        <w:t xml:space="preserve"> к Приказу Минпромторга N 1152), размещенной в библиотеке типовых контрактов в ЕИС (номер типового контракта в ЕИС - 1400700000520009), Типовой </w:t>
      </w:r>
      <w:hyperlink w:history="0" r:id="rId35"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i w:val="on"/>
          </w:rPr>
          <w:t xml:space="preserve">контракт</w:t>
        </w:r>
      </w:hyperlink>
      <w:r>
        <w:rPr>
          <w:sz w:val="24"/>
          <w:i w:val="on"/>
        </w:rPr>
        <w:t xml:space="preserve"> применяется в том числе при осуществлении закупок с кодом общероссийского классификатора продукции по видам экономической деятельности (далее - ОКПД2) </w:t>
      </w:r>
      <w:hyperlink w:history="0" r:id="rId36"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i w:val="on"/>
          </w:rPr>
          <w:t xml:space="preserve">26.2</w:t>
        </w:r>
      </w:hyperlink>
      <w:r>
        <w:rPr>
          <w:sz w:val="24"/>
          <w:i w:val="on"/>
        </w:rPr>
        <w:t xml:space="preserve"> (за исключением </w:t>
      </w:r>
      <w:hyperlink w:history="0" r:id="rId37"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i w:val="on"/>
          </w:rPr>
          <w:t xml:space="preserve">26.20.9</w:t>
        </w:r>
      </w:hyperlink>
      <w:r>
        <w:rPr>
          <w:sz w:val="24"/>
          <w:i w:val="on"/>
        </w:rPr>
        <w:t xml:space="preserve">):</w:t>
      </w:r>
    </w:p>
    <w:p>
      <w:pPr>
        <w:pStyle w:val="0"/>
        <w:spacing w:before="240" w:lineRule="auto"/>
        <w:ind w:firstLine="540"/>
        <w:jc w:val="both"/>
      </w:pPr>
      <w:r>
        <w:rPr>
          <w:sz w:val="24"/>
          <w:i w:val="on"/>
        </w:rPr>
        <w:t xml:space="preserve">Согласно извещению заказчиком определен код позиции каталога товаров, работ, услуг для обеспечения государственных и муниципальных нужд "26.20.14.000-00000189", а также код ОКПД2 </w:t>
      </w:r>
      <w:hyperlink w:history="0" r:id="rId38"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i w:val="on"/>
          </w:rPr>
          <w:t xml:space="preserve">26.20.14.120</w:t>
        </w:r>
      </w:hyperlink>
      <w:r>
        <w:rPr>
          <w:sz w:val="24"/>
          <w:i w:val="on"/>
        </w:rPr>
        <w:t xml:space="preserve"> "Серверы (однопроцессорные, двухпроцессорные)".</w:t>
      </w:r>
    </w:p>
    <w:p>
      <w:pPr>
        <w:pStyle w:val="0"/>
        <w:spacing w:before="240" w:lineRule="auto"/>
        <w:ind w:firstLine="540"/>
        <w:jc w:val="both"/>
      </w:pPr>
      <w:r>
        <w:rPr>
          <w:sz w:val="24"/>
          <w:i w:val="on"/>
        </w:rPr>
        <w:t xml:space="preserve">...Коды закупаемых товаров, работ, услуг определяются по Общероссийскому </w:t>
      </w:r>
      <w:hyperlink w:history="0" r:id="rId39"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i w:val="on"/>
          </w:rPr>
          <w:t xml:space="preserve">классификатору</w:t>
        </w:r>
      </w:hyperlink>
      <w:r>
        <w:rPr>
          <w:sz w:val="24"/>
          <w:i w:val="on"/>
        </w:rPr>
        <w:t xml:space="preserve"> продукции по видам экономической деятельности (ОКПД 2) и (или) Общероссийскому </w:t>
      </w: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11.09.2025) ------------ Недействующая редакция {КонсультантПлюс}">
        <w:r>
          <w:rPr>
            <w:sz w:val="24"/>
            <w:color w:val="0000ff"/>
            <w:i w:val="on"/>
          </w:rPr>
          <w:t xml:space="preserve">классификатору</w:t>
        </w:r>
      </w:hyperlink>
      <w:r>
        <w:rPr>
          <w:sz w:val="24"/>
          <w:i w:val="on"/>
        </w:rPr>
        <w:t xml:space="preserve"> видов экономической деятельности (ОКВЭД 2) и (или) каталогу товаров, работ, услуг для обеспечения государственных и муниципальных нужд. Одновременное соответствие кодов показателей </w:t>
      </w:r>
      <w:hyperlink w:history="0" r:id="rId41" w:tooltip="&quot;ОК 034-2014 (КПЕС 2008). Общероссийский классификатор продукции по видам экономической деятельности&quot; (утв. Приказом Росстандарта от 31.01.2014 N 14-ст) (ред. от 12.12.2025) ------------ Недействующая редакция {КонсультантПлюс}">
        <w:r>
          <w:rPr>
            <w:sz w:val="24"/>
            <w:color w:val="0000ff"/>
            <w:i w:val="on"/>
          </w:rPr>
          <w:t xml:space="preserve">ОКПД 2</w:t>
        </w:r>
      </w:hyperlink>
      <w:r>
        <w:rPr>
          <w:sz w:val="24"/>
          <w:i w:val="on"/>
        </w:rPr>
        <w:t xml:space="preserve">,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11.09.2025) ------------ Недействующая редакция {КонсультантПлюс}">
        <w:r>
          <w:rPr>
            <w:sz w:val="24"/>
            <w:color w:val="0000ff"/>
            <w:i w:val="on"/>
          </w:rPr>
          <w:t xml:space="preserve">ОКВЭД 2</w:t>
        </w:r>
      </w:hyperlink>
      <w:r>
        <w:rPr>
          <w:sz w:val="24"/>
          <w:i w:val="on"/>
        </w:rPr>
        <w:t xml:space="preserve"> и КТРУ в качестве основания для применения типового контракта </w:t>
      </w:r>
      <w:hyperlink w:history="0" r:id="rId43" w:tooltip="Постановление Правительства РФ от 02.07.2014 N 606 (ред. от 27.12.2019) &quot;О порядке разработки типовых контрактов, типовых условий контрактов, а также о случаях и условиях их применения&quot; (вместе с &quot;Правилами разработки типовых контрактов, типовых условий контрактов&quot;) ------------ Утратил силу или отменен {КонсультантПлюс}">
        <w:r>
          <w:rPr>
            <w:sz w:val="24"/>
            <w:color w:val="0000ff"/>
            <w:i w:val="on"/>
          </w:rPr>
          <w:t xml:space="preserve">Правилами</w:t>
        </w:r>
      </w:hyperlink>
      <w:r>
        <w:rPr>
          <w:sz w:val="24"/>
          <w:i w:val="on"/>
        </w:rPr>
        <w:t xml:space="preserve"> N 606 не предусмотрено.</w:t>
      </w:r>
    </w:p>
    <w:p>
      <w:pPr>
        <w:pStyle w:val="0"/>
        <w:spacing w:before="240" w:lineRule="auto"/>
        <w:ind w:firstLine="540"/>
        <w:jc w:val="both"/>
      </w:pPr>
      <w:r>
        <w:rPr>
          <w:sz w:val="24"/>
          <w:i w:val="on"/>
        </w:rPr>
        <w:t xml:space="preserve">Суды пришли к выводу о том, что действия заказчика, комитета, не применивших положения Типового </w:t>
      </w:r>
      <w:hyperlink w:history="0" r:id="rId44" w:tooltip="Приказ Минпромторга России от 07.04.2020 N 1152 &quot;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 {КонсультантПлюс}">
        <w:r>
          <w:rPr>
            <w:sz w:val="24"/>
            <w:color w:val="0000ff"/>
            <w:i w:val="on"/>
          </w:rPr>
          <w:t xml:space="preserve">контракта</w:t>
        </w:r>
      </w:hyperlink>
      <w:r>
        <w:rPr>
          <w:sz w:val="24"/>
          <w:i w:val="on"/>
        </w:rPr>
        <w:t xml:space="preserve">, утвержденного Приказом Минпромторга N 1152, нарушают </w:t>
      </w:r>
      <w:hyperlink w:history="0" r:id="rId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часть 11 статьи 34</w:t>
        </w:r>
      </w:hyperlink>
      <w:r>
        <w:rPr>
          <w:sz w:val="24"/>
          <w:i w:val="on"/>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46"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i w:val="on"/>
          </w:rPr>
          <w:t xml:space="preserve">Кодексом</w:t>
        </w:r>
      </w:hyperlink>
      <w:r>
        <w:rPr>
          <w:sz w:val="24"/>
          <w:i w:val="on"/>
        </w:rPr>
        <w:t xml:space="preserve"> Российской Федерации об административных правонарушениях...".</w:t>
      </w:r>
    </w:p>
    <w:p>
      <w:pPr>
        <w:pStyle w:val="0"/>
        <w:spacing w:before="240" w:lineRule="auto"/>
        <w:ind w:firstLine="540"/>
        <w:jc w:val="both"/>
      </w:pPr>
      <w:r>
        <w:rPr>
          <w:sz w:val="24"/>
        </w:rPr>
        <w:t xml:space="preserve">С учетом изложенного, Заказчику отказано в удовлетворении заявленных требований.</w:t>
      </w:r>
    </w:p>
    <w:p>
      <w:pPr>
        <w:pStyle w:val="0"/>
        <w:spacing w:before="240" w:lineRule="auto"/>
        <w:ind w:firstLine="540"/>
        <w:jc w:val="both"/>
      </w:pPr>
      <w:r>
        <w:rPr>
          <w:sz w:val="24"/>
        </w:rPr>
        <w:t xml:space="preserve">(</w:t>
      </w:r>
      <w:hyperlink w:history="0" r:id="rId47" w:tooltip="Постановление Арбитражного суда Московского округа от 20.02.2026 N Ф05-486/2026 по делу N А40-57199/2025 Требование: О признании незаконными решения и предписания антимонопольного органа. Обстоятельства: Оспариваемым решением заявитель признан нарушившим законодательство о контрактной системе в сфере закупок. Решение: В удовлетворении требования отказано, поскольку установлено, что действия заявителя, не применившего положения утвержденного типового контракта, нарушают требования законодательства о контракт {КонсультантПлюс}">
        <w:r>
          <w:rPr>
            <w:sz w:val="24"/>
            <w:color w:val="0000ff"/>
          </w:rPr>
          <w:t xml:space="preserve">Постановление</w:t>
        </w:r>
      </w:hyperlink>
      <w:r>
        <w:rPr>
          <w:sz w:val="24"/>
        </w:rPr>
        <w:t xml:space="preserve"> Арбитражного суда Московского округа от 20.02.2026 по делу N А40-57199/2025)</w:t>
      </w:r>
    </w:p>
    <w:p>
      <w:pPr>
        <w:pStyle w:val="0"/>
        <w:ind w:firstLine="540"/>
        <w:jc w:val="both"/>
      </w:pPr>
      <w:r>
        <w:rPr>
          <w:sz w:val="24"/>
        </w:rPr>
      </w:r>
    </w:p>
    <w:p>
      <w:pPr>
        <w:pStyle w:val="2"/>
        <w:outlineLvl w:val="0"/>
        <w:ind w:firstLine="540"/>
        <w:jc w:val="both"/>
      </w:pPr>
      <w:r>
        <w:rPr>
          <w:sz w:val="24"/>
        </w:rPr>
        <w:t xml:space="preserve">2. Заключение контракта с единственным поставщиком (подрядчиком, исполнителем) в соответствии с </w:t>
      </w:r>
      <w:hyperlink w:history="0" r:id="rId4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возможно в исключительных случаях, если применение конкурентных способов, требующих затрат времени, нецелесообразно.</w:t>
      </w:r>
    </w:p>
    <w:p>
      <w:pPr>
        <w:pStyle w:val="0"/>
        <w:ind w:firstLine="540"/>
        <w:jc w:val="both"/>
      </w:pPr>
      <w:r>
        <w:rPr>
          <w:sz w:val="24"/>
        </w:rPr>
      </w:r>
    </w:p>
    <w:p>
      <w:pPr>
        <w:pStyle w:val="0"/>
        <w:ind w:firstLine="540"/>
        <w:jc w:val="both"/>
      </w:pPr>
      <w:r>
        <w:rPr>
          <w:sz w:val="24"/>
        </w:rPr>
        <w:t xml:space="preserve">Управление делами Правительства Нижегородской области (далее - Заказчик) заключило государственный контракт от 02.08.2024 N 93 на выполнение инженерных изысканий, подготовку проектной документации, строительно-монтажные работы по объекту "Реконструкция противооползневых сооружений вдоль Кремлевского бульвара на участке между Коромысловой и Тайницкой башнями Нижегородского Кремля" (далее - Контракт).</w:t>
      </w:r>
    </w:p>
    <w:p>
      <w:pPr>
        <w:pStyle w:val="0"/>
        <w:spacing w:before="240" w:lineRule="auto"/>
        <w:ind w:firstLine="540"/>
        <w:jc w:val="both"/>
      </w:pPr>
      <w:r>
        <w:rPr>
          <w:sz w:val="24"/>
        </w:rPr>
        <w:t xml:space="preserve">Согласно </w:t>
      </w:r>
      <w:hyperlink w:history="0"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24</w:t>
        </w:r>
      </w:hyperlink>
      <w:r>
        <w:rPr>
          <w:sz w:val="24"/>
        </w:rPr>
        <w:t xml:space="preserve"> Закона о контрактной системе) заказчики при осуществлении закупок применяют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pPr>
        <w:pStyle w:val="0"/>
        <w:spacing w:before="240" w:lineRule="auto"/>
        <w:ind w:firstLine="540"/>
        <w:jc w:val="both"/>
      </w:pPr>
      <w:r>
        <w:rPr>
          <w:sz w:val="24"/>
        </w:rPr>
        <w:t xml:space="preserve">В соответствии с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и ликвидации чрезвычайных ситуаций (далее - РСЧС)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аварий, обстоятельств непреодолимой силы, для предупреждения и (или) ликвидации чрезвычайной ситуации, для оказания гуманитарной помощи, </w:t>
      </w:r>
      <w:r>
        <w:rPr>
          <w:sz w:val="24"/>
          <w:b w:val="on"/>
        </w:rPr>
        <w:t xml:space="preserve">если применение конкурентных способов, требующих затрат времени, нецелесообразно</w:t>
      </w:r>
      <w:r>
        <w:rPr>
          <w:sz w:val="24"/>
        </w:rPr>
        <w:t xml:space="preserve">.</w:t>
      </w:r>
    </w:p>
    <w:p>
      <w:pPr>
        <w:pStyle w:val="0"/>
        <w:spacing w:before="240" w:lineRule="auto"/>
        <w:ind w:firstLine="540"/>
        <w:jc w:val="both"/>
      </w:pPr>
      <w:r>
        <w:rPr>
          <w:sz w:val="24"/>
        </w:rPr>
        <w:t xml:space="preserve">При этом в соответствии с </w:t>
      </w: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93</w:t>
        </w:r>
      </w:hyperlink>
      <w:r>
        <w:rPr>
          <w:sz w:val="24"/>
        </w:rPr>
        <w:t xml:space="preserve"> Закона о контрактной системе при осуществлении закупки у единственного поставщика (подрядчика, исполнителя) в случаях, предусмотренных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пунктами 6</w:t>
        </w:r>
      </w:hyperlink>
      <w:r>
        <w:rPr>
          <w:sz w:val="24"/>
        </w:rPr>
        <w:t xml:space="preserve">,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9</w:t>
        </w:r>
      </w:hyperlink>
      <w:r>
        <w:rPr>
          <w:sz w:val="24"/>
        </w:rPr>
        <w:t xml:space="preserve">, </w:t>
      </w:r>
      <w:hyperlink w:history="0" r:id="rId5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34</w:t>
        </w:r>
      </w:hyperlink>
      <w:r>
        <w:rPr>
          <w:sz w:val="24"/>
        </w:rPr>
        <w:t xml:space="preserve"> и </w:t>
      </w:r>
      <w:hyperlink w:history="0" r:id="rId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50 части 1 статьи 93</w:t>
        </w:r>
      </w:hyperlink>
      <w:r>
        <w:rPr>
          <w:sz w:val="24"/>
        </w:rPr>
        <w:t xml:space="preserve"> 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пунктами, предусмотренными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93</w:t>
        </w:r>
      </w:hyperlink>
      <w:r>
        <w:rPr>
          <w:sz w:val="24"/>
        </w:rPr>
        <w:t xml:space="preserve"> Закона о контрактной системе, контракта с обоснованием его заключения.</w:t>
      </w:r>
    </w:p>
    <w:p>
      <w:pPr>
        <w:pStyle w:val="0"/>
        <w:spacing w:before="240" w:lineRule="auto"/>
        <w:ind w:firstLine="540"/>
        <w:jc w:val="both"/>
      </w:pPr>
      <w:r>
        <w:rPr>
          <w:sz w:val="24"/>
        </w:rPr>
        <w:t xml:space="preserve">В соответствии с </w:t>
      </w:r>
      <w:hyperlink w:history="0" r:id="rId57" w:tooltip="Ссылка на КонсультантПлюс">
        <w:r>
          <w:rPr>
            <w:sz w:val="24"/>
            <w:color w:val="0000ff"/>
          </w:rPr>
          <w:t xml:space="preserve">Постановлением</w:t>
        </w:r>
      </w:hyperlink>
      <w:r>
        <w:rPr>
          <w:sz w:val="24"/>
        </w:rPr>
        <w:t xml:space="preserve"> Администрации города Нижнего Новгорода от 29.07.2020 N 2635 "О введении режима повышенной готовности на территории Нижегородского района города Нижнего Новгорода" (далее - Постановление N 2635) с 9 часов 29.07.2020 вводится режим повышенной готовности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в Нижегородском районе города Нижнего Новгорода территориальной подсистемы РСЧС Нижегородской области.</w:t>
      </w:r>
    </w:p>
    <w:p>
      <w:pPr>
        <w:pStyle w:val="0"/>
        <w:spacing w:before="240" w:lineRule="auto"/>
        <w:ind w:firstLine="540"/>
        <w:jc w:val="both"/>
      </w:pPr>
      <w:r>
        <w:rPr>
          <w:sz w:val="24"/>
        </w:rPr>
        <w:t xml:space="preserve">Вместе с тем согласно положениям </w:t>
      </w:r>
      <w:hyperlink w:history="0" r:id="rId58" w:tooltip="Ссылка на КонсультантПлюс">
        <w:r>
          <w:rPr>
            <w:sz w:val="24"/>
            <w:color w:val="0000ff"/>
          </w:rPr>
          <w:t xml:space="preserve">Постановления</w:t>
        </w:r>
      </w:hyperlink>
      <w:r>
        <w:rPr>
          <w:sz w:val="24"/>
        </w:rPr>
        <w:t xml:space="preserve"> N 2635 управляющему делами Правительства Нижегородской области рекомендуется организовать выполнение мероприятий по руководству ликвидации аварии в целях предупреждения возникновения чрезвычайной ситуации, связанной с разрушением склона на участке Кремлевского бульвара.</w:t>
      </w:r>
    </w:p>
    <w:p>
      <w:pPr>
        <w:pStyle w:val="0"/>
        <w:spacing w:before="240" w:lineRule="auto"/>
        <w:ind w:firstLine="540"/>
        <w:jc w:val="both"/>
      </w:pPr>
      <w:r>
        <w:rPr>
          <w:sz w:val="24"/>
        </w:rPr>
        <w:t xml:space="preserve">В соответствии с пунктом 3 раздела 1 протокола совещания по вопросу реализации склоноукрепительных работ и благоустройства территории Нижегородского Кремля от 05.04.2024 N Сл-001-407091/24 Заказчику необходимо заключить Контракт с единственным поставщиком (подрядчиком, исполнителем).</w:t>
      </w:r>
    </w:p>
    <w:p>
      <w:pPr>
        <w:pStyle w:val="0"/>
        <w:spacing w:before="240" w:lineRule="auto"/>
        <w:ind w:firstLine="540"/>
        <w:jc w:val="both"/>
      </w:pPr>
      <w:r>
        <w:rPr>
          <w:sz w:val="24"/>
        </w:rPr>
        <w:t xml:space="preserve">В силу </w:t>
      </w:r>
      <w:hyperlink w:history="0" r:id="rId59" w:tooltip="Ссылка на КонсультантПлюс">
        <w:r>
          <w:rPr>
            <w:sz w:val="24"/>
            <w:color w:val="0000ff"/>
          </w:rPr>
          <w:t xml:space="preserve">пункта 3</w:t>
        </w:r>
      </w:hyperlink>
      <w:r>
        <w:rPr>
          <w:sz w:val="24"/>
        </w:rPr>
        <w:t xml:space="preserve"> Постановления администрации города Нижнего Новгорода от 14.05.2024 N 3357 "О внесении изменений в Постановление администрации города Нижнего Новгорода от 29.07.2020 N 2635" (далее - Постановление N 3357) Управлению делами Правительства Нижегородской области рекомендуется организовать выполнение мероприятий для предупреждения и (или) ликвидации чрезвычайной ситуации, связанной с разрушением склона на участке Кремлевского бульвара от Коромысловой до Ивановской башни.</w:t>
      </w:r>
    </w:p>
    <w:p>
      <w:pPr>
        <w:pStyle w:val="0"/>
        <w:spacing w:before="240" w:lineRule="auto"/>
        <w:ind w:firstLine="540"/>
        <w:jc w:val="both"/>
      </w:pPr>
      <w:r>
        <w:rPr>
          <w:sz w:val="24"/>
        </w:rPr>
        <w:t xml:space="preserve">Комиссией ФАС России установлено, что </w:t>
      </w:r>
      <w:hyperlink w:history="0" r:id="rId60" w:tooltip="Ссылка на КонсультантПлюс">
        <w:r>
          <w:rPr>
            <w:sz w:val="24"/>
            <w:color w:val="0000ff"/>
          </w:rPr>
          <w:t xml:space="preserve">Постановление</w:t>
        </w:r>
      </w:hyperlink>
      <w:r>
        <w:rPr>
          <w:sz w:val="24"/>
        </w:rPr>
        <w:t xml:space="preserve"> N 3357, в соответствии с которым Заказчику рекомендуется заключить Контракт, выпущено 14.05.2024, в то время как Контракт заключен 02.08.2024.</w:t>
      </w:r>
    </w:p>
    <w:p>
      <w:pPr>
        <w:pStyle w:val="0"/>
        <w:spacing w:before="240" w:lineRule="auto"/>
        <w:ind w:firstLine="540"/>
        <w:jc w:val="both"/>
      </w:pPr>
      <w:r>
        <w:rPr>
          <w:sz w:val="24"/>
        </w:rPr>
        <w:t xml:space="preserve">Таким образом, с даты публикации </w:t>
      </w:r>
      <w:hyperlink w:history="0" r:id="rId61" w:tooltip="Ссылка на КонсультантПлюс">
        <w:r>
          <w:rPr>
            <w:sz w:val="24"/>
            <w:color w:val="0000ff"/>
          </w:rPr>
          <w:t xml:space="preserve">Постановления</w:t>
        </w:r>
      </w:hyperlink>
      <w:r>
        <w:rPr>
          <w:sz w:val="24"/>
        </w:rPr>
        <w:t xml:space="preserve"> N 3357 до даты заключения Контракта прошло 2 месяца и 19 дней.</w:t>
      </w:r>
    </w:p>
    <w:p>
      <w:pPr>
        <w:pStyle w:val="0"/>
        <w:spacing w:before="240" w:lineRule="auto"/>
        <w:ind w:firstLine="540"/>
        <w:jc w:val="both"/>
      </w:pPr>
      <w:r>
        <w:rPr>
          <w:sz w:val="24"/>
        </w:rPr>
        <w:t xml:space="preserve">Закупки, осуществляемые на основании </w:t>
      </w: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требуют строгого и однозначного соответствия исчерпывающему перечню условий, предусмотренных вышеуказанным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w:t>
        </w:r>
      </w:hyperlink>
      <w:r>
        <w:rPr>
          <w:sz w:val="24"/>
        </w:rPr>
        <w:t xml:space="preserve">.</w:t>
      </w:r>
    </w:p>
    <w:p>
      <w:pPr>
        <w:pStyle w:val="0"/>
        <w:spacing w:before="240" w:lineRule="auto"/>
        <w:ind w:firstLine="540"/>
        <w:jc w:val="both"/>
      </w:pPr>
      <w:r>
        <w:rPr>
          <w:sz w:val="24"/>
        </w:rPr>
        <w:t xml:space="preserve">Кроме того, правовая специфика способа закупки, установленного </w:t>
      </w:r>
      <w:hyperlink w:history="0"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предопределена неконкурентным характером соответствующих правоотношений, а также срочностью и неотложностью оснований, обусловливающих проведение закупки у единственного поставщика (подрядчика, исполнителя) таким способом.</w:t>
      </w:r>
    </w:p>
    <w:p>
      <w:pPr>
        <w:pStyle w:val="0"/>
        <w:spacing w:before="240" w:lineRule="auto"/>
        <w:ind w:firstLine="540"/>
        <w:jc w:val="both"/>
      </w:pPr>
      <w:r>
        <w:rPr>
          <w:sz w:val="24"/>
        </w:rPr>
        <w:t xml:space="preserve">Таким образом, в процедуре заключения Контракта, а также в самом Контракте Комиссией не усматривается принцип срочности, установленный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w:t>
      </w:r>
    </w:p>
    <w:p>
      <w:pPr>
        <w:pStyle w:val="0"/>
        <w:spacing w:before="240" w:lineRule="auto"/>
        <w:ind w:firstLine="540"/>
        <w:jc w:val="both"/>
      </w:pPr>
      <w:r>
        <w:rPr>
          <w:sz w:val="24"/>
        </w:rPr>
        <w:t xml:space="preserve">Ввиду изложенного Комиссия ФАС России пришла к выводу, что Заказчик имел достаточно времени для проведения конкурентной процедуры.</w:t>
      </w:r>
    </w:p>
    <w:p>
      <w:pPr>
        <w:pStyle w:val="0"/>
        <w:spacing w:before="240" w:lineRule="auto"/>
        <w:ind w:firstLine="540"/>
        <w:jc w:val="both"/>
      </w:pPr>
      <w:r>
        <w:rPr>
          <w:sz w:val="24"/>
        </w:rPr>
        <w:t xml:space="preserve">Учитывая изложенное, заключение Контракта в соответствии с </w:t>
      </w:r>
      <w:hyperlink w:history="0" r:id="rId6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является неправомерным, поскольку условия и обстоятельства для его заключения не соответствуют исчерпывающему перечню оснований, предусмотренных </w:t>
      </w:r>
      <w:hyperlink w:history="0" r:id="rId6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w:t>
      </w:r>
    </w:p>
    <w:p>
      <w:pPr>
        <w:pStyle w:val="0"/>
        <w:spacing w:before="240" w:lineRule="auto"/>
        <w:ind w:firstLine="540"/>
        <w:jc w:val="both"/>
      </w:pPr>
      <w:r>
        <w:rPr>
          <w:sz w:val="24"/>
        </w:rPr>
        <w:t xml:space="preserve">Указанные выводы отражены в </w:t>
      </w:r>
      <w:hyperlink w:history="0" r:id="rId68" w:tooltip="Ссылка на КонсультантПлюс">
        <w:r>
          <w:rPr>
            <w:sz w:val="24"/>
            <w:color w:val="0000ff"/>
          </w:rPr>
          <w:t xml:space="preserve">решении</w:t>
        </w:r>
      </w:hyperlink>
      <w:r>
        <w:rPr>
          <w:sz w:val="24"/>
        </w:rPr>
        <w:t xml:space="preserve"> ФАС России от 23.01.2025 по делу N П-10/25 (далее - Решение).</w:t>
      </w:r>
    </w:p>
    <w:p>
      <w:pPr>
        <w:pStyle w:val="0"/>
        <w:spacing w:before="240" w:lineRule="auto"/>
        <w:ind w:firstLine="540"/>
        <w:jc w:val="both"/>
      </w:pPr>
      <w:r>
        <w:rPr>
          <w:sz w:val="24"/>
        </w:rPr>
        <w:t xml:space="preserve">Заказчик, не согласившись с </w:t>
      </w:r>
      <w:hyperlink w:history="0" r:id="rId69" w:tooltip="Ссылка на КонсультантПлюс">
        <w:r>
          <w:rPr>
            <w:sz w:val="24"/>
            <w:color w:val="0000ff"/>
          </w:rPr>
          <w:t xml:space="preserve">Решением</w:t>
        </w:r>
      </w:hyperlink>
      <w:r>
        <w:rPr>
          <w:sz w:val="24"/>
        </w:rPr>
        <w:t xml:space="preserve"> ФАС России, обжаловал его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70"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hyperlink w:history="0" r:id="rId71" w:tooltip="Постановление Девятого арбитражного апелляционного суда от 31.10.2025 N 09АП-48271/2025 по делу N А40-106243/2025 Категория: Споры в сфере закупок для государственных и муниципальных нужд. Требования заказчика: О признании незаконным решения антимонопольного органа. Обстоятельства: Выбор заказчиком неконкурентного способа закупки представляет собой злоупотребление правом, намеренное уклонение от конкурентных процедур, что является нарушением законодательства о контрактной системе, при этом, отдавая предпочт {КонсультантПлюс}">
        <w:r>
          <w:rPr>
            <w:sz w:val="24"/>
            <w:color w:val="0000ff"/>
          </w:rPr>
          <w:t xml:space="preserve">Постановлением</w:t>
        </w:r>
      </w:hyperlink>
      <w:r>
        <w:rPr>
          <w:sz w:val="24"/>
        </w:rPr>
        <w:t xml:space="preserve"> Девятого апелляционного арбитражного суда </w:t>
      </w:r>
      <w:hyperlink w:history="0" r:id="rId72" w:tooltip="Ссылка на КонсультантПлюс">
        <w:r>
          <w:rPr>
            <w:sz w:val="24"/>
            <w:color w:val="0000ff"/>
          </w:rPr>
          <w:t xml:space="preserve">решение</w:t>
        </w:r>
      </w:hyperlink>
      <w:r>
        <w:rPr>
          <w:sz w:val="24"/>
        </w:rPr>
        <w:t xml:space="preserve"> Арбитражного суда города Москвы от 01.08.2025 по делу N А40-106243/25 оставлено без изменения.</w:t>
      </w:r>
    </w:p>
    <w:p>
      <w:pPr>
        <w:pStyle w:val="0"/>
        <w:spacing w:before="240" w:lineRule="auto"/>
        <w:ind w:firstLine="540"/>
        <w:jc w:val="both"/>
      </w:pPr>
      <w:r>
        <w:rPr>
          <w:sz w:val="24"/>
        </w:rPr>
        <w:t xml:space="preserve">Заказчик обратился в Арбитражный суд Московского округа, Арбитражным судом Московского округа </w:t>
      </w:r>
      <w:hyperlink w:history="0" r:id="rId73" w:tooltip="Ссылка на КонсультантПлюс">
        <w:r>
          <w:rPr>
            <w:sz w:val="24"/>
            <w:color w:val="0000ff"/>
          </w:rPr>
          <w:t xml:space="preserve">Решение</w:t>
        </w:r>
      </w:hyperlink>
      <w:r>
        <w:rPr>
          <w:sz w:val="24"/>
        </w:rPr>
        <w:t xml:space="preserve"> ФАС России признано законным и обоснованным.</w:t>
      </w:r>
    </w:p>
    <w:p>
      <w:pPr>
        <w:pStyle w:val="0"/>
        <w:spacing w:before="240" w:lineRule="auto"/>
        <w:ind w:firstLine="540"/>
        <w:jc w:val="both"/>
      </w:pPr>
      <w:r>
        <w:rPr>
          <w:sz w:val="24"/>
        </w:rPr>
        <w:t xml:space="preserve">В части доводов Заказчика отмечено:</w:t>
      </w:r>
    </w:p>
    <w:p>
      <w:pPr>
        <w:pStyle w:val="0"/>
        <w:spacing w:before="240" w:lineRule="auto"/>
        <w:ind w:firstLine="540"/>
        <w:jc w:val="both"/>
      </w:pPr>
      <w:r>
        <w:rPr>
          <w:sz w:val="24"/>
          <w:i w:val="on"/>
        </w:rPr>
        <w:t xml:space="preserve">"...Из материалов дела... не следует, что заключение Контракта с единственным поставщиком являлось единственно возможным и целесообразным. Заявителем не представлены безусловные доказательства, подтверждающие наличие признаков "внезапности", "экстренности" у спорной закупки и исключительности ситуации, при которой невозможно проведение конкурентной процедуры.</w:t>
      </w:r>
    </w:p>
    <w:p>
      <w:pPr>
        <w:pStyle w:val="0"/>
        <w:spacing w:before="240" w:lineRule="auto"/>
        <w:ind w:firstLine="540"/>
        <w:jc w:val="both"/>
      </w:pPr>
      <w:r>
        <w:rPr>
          <w:sz w:val="24"/>
          <w:i w:val="on"/>
        </w:rPr>
        <w:t xml:space="preserve">...отдавая в отдельных случаях предпочтение такому способу как осуществление закупки у единственного поставщика, заказчик должен иметь разумные и объективные причины, объясняющие, что применение конкурентных процедур либо является неэффективным, либо в значительной степени лишает заказчика того результата, которого он намеревался достичь, планируя закупку.</w:t>
      </w:r>
    </w:p>
    <w:p>
      <w:pPr>
        <w:pStyle w:val="0"/>
        <w:spacing w:before="240" w:lineRule="auto"/>
        <w:ind w:firstLine="540"/>
        <w:jc w:val="both"/>
      </w:pPr>
      <w:r>
        <w:rPr>
          <w:sz w:val="24"/>
          <w:i w:val="on"/>
        </w:rPr>
        <w:t xml:space="preserve">...Таким образом, ФАС России пришла к обоснованному выводу, что заключение Контракта в соответствии с </w:t>
      </w:r>
      <w:hyperlink w:history="0"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 9 ч. 1 ст. 93</w:t>
        </w:r>
      </w:hyperlink>
      <w:r>
        <w:rPr>
          <w:sz w:val="24"/>
          <w:i w:val="on"/>
        </w:rPr>
        <w:t xml:space="preserve"> Закона N 44-ФЗ являлось неправомерным, поскольку условия и обстоятельства для его заключения не соответствовали предусмотренному </w:t>
      </w:r>
      <w:hyperlink w:history="0" r:id="rId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Законом</w:t>
        </w:r>
      </w:hyperlink>
      <w:r>
        <w:rPr>
          <w:sz w:val="24"/>
          <w:i w:val="on"/>
        </w:rPr>
        <w:t xml:space="preserve"> исчерпывающему перечню оснований. Судами указанный вывод поддержан".</w:t>
      </w:r>
    </w:p>
    <w:p>
      <w:pPr>
        <w:pStyle w:val="0"/>
        <w:spacing w:before="240" w:lineRule="auto"/>
        <w:ind w:firstLine="540"/>
        <w:jc w:val="both"/>
      </w:pPr>
      <w:r>
        <w:rPr>
          <w:sz w:val="24"/>
        </w:rPr>
        <w:t xml:space="preserve">(</w:t>
      </w:r>
      <w:hyperlink w:history="0" r:id="rId76" w:tooltip="Постановление Арбитражного суда Московского округа от 03.03.2026 N Ф05-23654/2025 по делу N А40-106243/2025 Требование: О признании незаконным решения антимонопольного органа. Обстоятельства: Оспариваемым решением в действиях заказчика установлено нарушение ч. 1 ст. 24 Закона о контрактной системе при заключении государственного контракта на инженерные изыскания, подготовку проектной документации, строительно-монтажные работы. Решение: В удовлетворении требования отказано, поскольку выбор заказчиком неконку {КонсультантПлюс}">
        <w:r>
          <w:rPr>
            <w:sz w:val="24"/>
            <w:color w:val="0000ff"/>
          </w:rPr>
          <w:t xml:space="preserve">Постановление</w:t>
        </w:r>
      </w:hyperlink>
      <w:r>
        <w:rPr>
          <w:sz w:val="24"/>
        </w:rPr>
        <w:t xml:space="preserve"> Арбитражного суда Московского округа от 03.03.2026 по делу N А40-106243/2025)</w:t>
      </w:r>
    </w:p>
    <w:p>
      <w:pPr>
        <w:pStyle w:val="0"/>
        <w:ind w:firstLine="540"/>
        <w:jc w:val="both"/>
      </w:pPr>
      <w:r>
        <w:rPr>
          <w:sz w:val="24"/>
        </w:rPr>
      </w:r>
    </w:p>
    <w:p>
      <w:pPr>
        <w:pStyle w:val="2"/>
        <w:outlineLvl w:val="0"/>
        <w:ind w:firstLine="540"/>
        <w:jc w:val="both"/>
      </w:pPr>
      <w:r>
        <w:rPr>
          <w:sz w:val="24"/>
        </w:rPr>
        <w:t xml:space="preserve">3. Объединение в один лот товаров, работ, услуг, образующих разные рынки, не обладающих какими-либо родовыми, однородными признаками, а также не имеющих функциональную и технологическую связь между собой, неправомерно.</w:t>
      </w:r>
    </w:p>
    <w:p>
      <w:pPr>
        <w:pStyle w:val="0"/>
        <w:ind w:firstLine="540"/>
        <w:jc w:val="both"/>
      </w:pPr>
      <w:r>
        <w:rPr>
          <w:sz w:val="24"/>
        </w:rPr>
      </w:r>
    </w:p>
    <w:p>
      <w:pPr>
        <w:pStyle w:val="0"/>
        <w:ind w:firstLine="540"/>
        <w:jc w:val="both"/>
      </w:pPr>
      <w:r>
        <w:rPr>
          <w:sz w:val="24"/>
        </w:rPr>
        <w:t xml:space="preserve">ФАС России рассмотрела обращение о согласовании заключения контракта с единственным поставщиком (подрядчиком, исполнителем) (далее - Обращение), направленное ФКУ Упрдор "Приуралье" (далее - Заказчик) в соответствии с </w:t>
      </w:r>
      <w:hyperlink w:history="0" r:id="rId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25 части 1 статьи 93</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 </w:t>
      </w:r>
      <w:hyperlink w:history="0" r:id="rId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описание объекта закупки в соответствии со </w:t>
      </w:r>
      <w:hyperlink w:history="0" r:id="rId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1 части 1 статьи 33</w:t>
        </w:r>
      </w:hyperlink>
      <w:r>
        <w:rPr>
          <w:sz w:val="24"/>
        </w:rPr>
        <w:t xml:space="preserve"> Закона о контрактной системе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pStyle w:val="0"/>
        <w:spacing w:before="240" w:lineRule="auto"/>
        <w:ind w:firstLine="540"/>
        <w:jc w:val="both"/>
      </w:pPr>
      <w:r>
        <w:rPr>
          <w:sz w:val="24"/>
        </w:rPr>
        <w:t xml:space="preserve">Согласно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подпункту "н" пункта 1 части 1 статьи 43</w:t>
        </w:r>
      </w:hyperlink>
      <w:r>
        <w:rPr>
          <w:sz w:val="24"/>
        </w:rPr>
        <w:t xml:space="preserve"> Закона о контрактной системе для участия в конкурентном способе заявка на участие в закупке, если иное не предусмотрено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должна содержать документы, подтверждающие соответствие участника закупки требованиям, установленным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31</w:t>
        </w:r>
      </w:hyperlink>
      <w:r>
        <w:rPr>
          <w:sz w:val="24"/>
        </w:rPr>
        <w:t xml:space="preserve"> Закона о контрактной системе, документы, подтверждающие соответствие участника закупки дополнительным требованиям, установленным в соответствии с </w:t>
      </w:r>
      <w:hyperlink w:history="0"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2</w:t>
        </w:r>
      </w:hyperlink>
      <w:r>
        <w:rPr>
          <w:sz w:val="24"/>
        </w:rPr>
        <w:t xml:space="preserve"> и </w:t>
      </w:r>
      <w:hyperlink w:history="0" r:id="rId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 если иное не предусмотрено </w:t>
      </w:r>
      <w:hyperlink w:history="0"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В соответствии с </w:t>
      </w:r>
      <w:hyperlink w:history="0" r:id="rId8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3 части 6 статьи 43</w:t>
        </w:r>
      </w:hyperlink>
      <w:r>
        <w:rPr>
          <w:sz w:val="24"/>
        </w:rPr>
        <w:t xml:space="preserve"> Закона о контрактной системе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history="0" r:id="rId8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w:t>
        </w:r>
      </w:hyperlink>
      <w:r>
        <w:rPr>
          <w:sz w:val="24"/>
        </w:rPr>
        <w:t xml:space="preserve"> или </w:t>
      </w:r>
      <w:hyperlink w:history="0" r:id="rId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 и предусмотренные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"н" пункта 1 части 1 статьи 43</w:t>
        </w:r>
      </w:hyperlink>
      <w:r>
        <w:rPr>
          <w:sz w:val="24"/>
        </w:rPr>
        <w:t xml:space="preserve"> Закона о контрактной системе, не включаются участником закупки в заявку на участие в закупке. Такие документы в случаях, предусмотренных </w:t>
      </w:r>
      <w:hyperlink w:history="0" r:id="rId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pPr>
        <w:pStyle w:val="0"/>
        <w:spacing w:before="240" w:lineRule="auto"/>
        <w:ind w:firstLine="540"/>
        <w:jc w:val="both"/>
      </w:pPr>
      <w:hyperlink w:history="0" r:id="rId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31</w:t>
        </w:r>
      </w:hyperlink>
      <w:r>
        <w:rPr>
          <w:sz w:val="24"/>
        </w:rPr>
        <w:t xml:space="preserve"> Закона о контрактной системе установлено, что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дополнительные требования, в том числе к наличию опыта работы, связанного с предметом контракта, и деловой репутации.</w:t>
      </w:r>
    </w:p>
    <w:p>
      <w:pPr>
        <w:pStyle w:val="0"/>
        <w:spacing w:before="240" w:lineRule="auto"/>
        <w:ind w:firstLine="540"/>
        <w:jc w:val="both"/>
      </w:pPr>
      <w:r>
        <w:rPr>
          <w:sz w:val="24"/>
        </w:rPr>
        <w:t xml:space="preserve">Из описания объекта закупки, установленного в Извещении, следует, что в рамках выполнения обязательств по государственному контракту подрядчику необходимо выполнить следующие работы по этапам:</w:t>
      </w:r>
    </w:p>
    <w:p>
      <w:pPr>
        <w:pStyle w:val="0"/>
        <w:spacing w:before="240" w:lineRule="auto"/>
        <w:ind w:firstLine="540"/>
        <w:jc w:val="both"/>
      </w:pPr>
      <w:r>
        <w:rPr>
          <w:sz w:val="24"/>
        </w:rPr>
        <w:t xml:space="preserve">Этап 1.1 - "Строительство транспортировочной развязки на ПК45+13,10 и 1 км а/д (ПК41+00-ПК50+20)", "Строительство транспортной развязки на ПК115+65 и 1 км а/д (ПК110+39,49-ПК121+46)";</w:t>
      </w:r>
    </w:p>
    <w:p>
      <w:pPr>
        <w:pStyle w:val="0"/>
        <w:spacing w:before="240" w:lineRule="auto"/>
        <w:ind w:firstLine="540"/>
        <w:jc w:val="both"/>
      </w:pPr>
      <w:r>
        <w:rPr>
          <w:sz w:val="24"/>
        </w:rPr>
        <w:t xml:space="preserve">Этап 4, Этап 5, Этап 6 - "Переустройство 3 магистральных газопроводов ПАО "Газпром";</w:t>
      </w:r>
    </w:p>
    <w:p>
      <w:pPr>
        <w:pStyle w:val="0"/>
        <w:spacing w:before="240" w:lineRule="auto"/>
        <w:ind w:firstLine="540"/>
        <w:jc w:val="both"/>
      </w:pPr>
      <w:r>
        <w:rPr>
          <w:sz w:val="24"/>
        </w:rPr>
        <w:t xml:space="preserve">Этап 7 - "Переустройство магистрального газопровода ПАО "Газпром".</w:t>
      </w:r>
    </w:p>
    <w:p>
      <w:pPr>
        <w:pStyle w:val="0"/>
        <w:spacing w:before="240" w:lineRule="auto"/>
        <w:ind w:firstLine="540"/>
        <w:jc w:val="both"/>
      </w:pPr>
      <w:r>
        <w:rPr>
          <w:sz w:val="24"/>
        </w:rPr>
        <w:t xml:space="preserve">Также Комиссией было установлено, что в соответствии со сводным сметным расчетом этапом N 7 предусмотрено переустройство распределительных газопроводов, этапами 4, 5, 6 предусмотрено переустройство магистральных газопроводов.</w:t>
      </w:r>
    </w:p>
    <w:p>
      <w:pPr>
        <w:pStyle w:val="0"/>
        <w:spacing w:before="240" w:lineRule="auto"/>
        <w:ind w:firstLine="540"/>
        <w:jc w:val="both"/>
      </w:pPr>
      <w:r>
        <w:rPr>
          <w:sz w:val="24"/>
        </w:rPr>
        <w:t xml:space="preserve">Комиссия пришла к выводу, что Заказчиком неправомерно объединено в один лот выполнение работ по строительству автомобильной дороги и работ по переустройству магистральных газопроводов, поскольку указанные работы образуют разные рынки, не обладают какими-либо родовыми, однородными признаками, а также не имеют функциональную и технологическую связь между собой, что приводит к необоснованному ограничению количества участников закупки.</w:t>
      </w:r>
    </w:p>
    <w:p>
      <w:pPr>
        <w:pStyle w:val="0"/>
        <w:spacing w:before="240" w:lineRule="auto"/>
        <w:ind w:firstLine="540"/>
        <w:jc w:val="both"/>
      </w:pPr>
      <w:r>
        <w:rPr>
          <w:sz w:val="24"/>
        </w:rPr>
        <w:t xml:space="preserve">Таким образом, вышеуказанные действия Заказчика нарушают </w:t>
      </w:r>
      <w:hyperlink w:history="0" r:id="rId9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 и содержат признаки состава административного правонарушения, ответственность за совершение которого предусмотрена </w:t>
      </w:r>
      <w:hyperlink w:history="0" r:id="rId95"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4.1 статьи 7.30</w:t>
        </w:r>
      </w:hyperlink>
      <w:r>
        <w:rPr>
          <w:sz w:val="24"/>
        </w:rPr>
        <w:t xml:space="preserve"> КоАП (далее - Решение ФАС России).</w:t>
      </w:r>
    </w:p>
    <w:p>
      <w:pPr>
        <w:pStyle w:val="0"/>
        <w:spacing w:before="240" w:lineRule="auto"/>
        <w:ind w:firstLine="540"/>
        <w:jc w:val="both"/>
      </w:pPr>
      <w:r>
        <w:rPr>
          <w:sz w:val="24"/>
        </w:rPr>
        <w:t xml:space="preserve">Заказчик, не согласившись с </w:t>
      </w:r>
      <w:hyperlink w:history="0" r:id="rId96" w:tooltip="Ссылка на КонсультантПлюс">
        <w:r>
          <w:rPr>
            <w:sz w:val="24"/>
            <w:color w:val="0000ff"/>
          </w:rPr>
          <w:t xml:space="preserve">Решением</w:t>
        </w:r>
      </w:hyperlink>
      <w:r>
        <w:rPr>
          <w:sz w:val="24"/>
        </w:rPr>
        <w:t xml:space="preserve"> ФАС России, обжаловал их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w:t>
      </w:r>
      <w:hyperlink w:history="0" r:id="rId97" w:tooltip="Ссылка на КонсультантПлюс">
        <w:r>
          <w:rPr>
            <w:sz w:val="24"/>
            <w:color w:val="0000ff"/>
          </w:rPr>
          <w:t xml:space="preserve">Решение</w:t>
        </w:r>
      </w:hyperlink>
      <w:r>
        <w:rPr>
          <w:sz w:val="24"/>
        </w:rPr>
        <w:t xml:space="preserve"> ФАС России признано законными и обоснованными. В части доводов Заказчика отмечено:</w:t>
      </w:r>
    </w:p>
    <w:p>
      <w:pPr>
        <w:pStyle w:val="0"/>
        <w:spacing w:before="240" w:lineRule="auto"/>
        <w:ind w:firstLine="540"/>
        <w:jc w:val="both"/>
      </w:pPr>
      <w:r>
        <w:rPr>
          <w:sz w:val="24"/>
          <w:i w:val="on"/>
        </w:rPr>
        <w:t xml:space="preserve">"...суд исходит из того, что по смыслу положений </w:t>
      </w:r>
      <w:hyperlink w:history="0" r:id="rId9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Постановления</w:t>
        </w:r>
      </w:hyperlink>
      <w:r>
        <w:rPr>
          <w:sz w:val="24"/>
          <w:i w:val="on"/>
        </w:rPr>
        <w:t xml:space="preserve"> N 2571 работы по строительству, реконструкции автомобильной дороги и работы по строительству, реконструкции линейного объекта, которым в свою очередь является магистральный газопровод, законодательно между собой разделяются.</w:t>
      </w:r>
    </w:p>
    <w:p>
      <w:pPr>
        <w:pStyle w:val="0"/>
        <w:spacing w:before="240" w:lineRule="auto"/>
        <w:ind w:firstLine="540"/>
        <w:jc w:val="both"/>
      </w:pPr>
      <w:r>
        <w:rPr>
          <w:sz w:val="24"/>
          <w:i w:val="on"/>
        </w:rPr>
        <w:t xml:space="preserve">...При проведении государственных (муниципальных) закупок допускается включение в один лот технологически и функционально взаимосвязанных между собой товаров, работ и услуг, в то время как объединение в один лот неоднородных работ влечет необоснованное ограничение количества участников конкурса ввиду того, что проектные и строительные работы представлены на разных товарных рынках, на каждом из которых имеется круг потенциальных участников торгов, готовых выполнить эти работы.</w:t>
      </w:r>
    </w:p>
    <w:p>
      <w:pPr>
        <w:pStyle w:val="0"/>
        <w:spacing w:before="240" w:lineRule="auto"/>
        <w:ind w:firstLine="540"/>
        <w:jc w:val="both"/>
      </w:pPr>
      <w:r>
        <w:rPr>
          <w:sz w:val="24"/>
          <w:i w:val="on"/>
        </w:rPr>
        <w:t xml:space="preserve">...В данном случае объединение вышеназванных работ в один лот исключает возможность участия в закупке субъектов, обладающих опытом выполнения работ по строительству, реконструкции автомобильной дороги и не обладающих опытом выполнения работ по строительству, реконструкции линейного объекта, и наоборот, что неизбежно ведет к отказу от участия в закупке лиц, имеющих лишь часть требуемого опыта, что приводит к нарушению принципа равнодоступности при проведении закупки, исключает возможность участия в закупке отдельных участников рынка, ограничивает возможность соперничества.</w:t>
      </w:r>
    </w:p>
    <w:p>
      <w:pPr>
        <w:pStyle w:val="0"/>
        <w:spacing w:before="240" w:lineRule="auto"/>
        <w:ind w:firstLine="540"/>
        <w:jc w:val="both"/>
      </w:pPr>
      <w:r>
        <w:rPr>
          <w:sz w:val="24"/>
          <w:i w:val="on"/>
        </w:rPr>
        <w:t xml:space="preserve">...На основании изложенного, суд соглашается с доводом ФАС России о том, что заказчиком неправомерно объединено в один лот выполнение работ по строительству автомобильной дороги и работ по переустройству магистральных газопроводов, поскольку указанные работы образуют разные рынки, не обладают какими-либо родовыми, однородными признаками, а также не имеют функциональную и технологическую связь между собой, что приводит к необоснованному ограничению количества участников закупки".</w:t>
      </w:r>
    </w:p>
    <w:p>
      <w:pPr>
        <w:pStyle w:val="0"/>
        <w:spacing w:before="240" w:lineRule="auto"/>
        <w:ind w:firstLine="540"/>
        <w:jc w:val="both"/>
      </w:pPr>
      <w:r>
        <w:rPr>
          <w:sz w:val="24"/>
        </w:rPr>
        <w:t xml:space="preserve">(</w:t>
      </w:r>
      <w:hyperlink w:history="0" r:id="rId99" w:tooltip="Ссылка на КонсультантПлюс">
        <w:r>
          <w:rPr>
            <w:sz w:val="24"/>
            <w:color w:val="0000ff"/>
          </w:rPr>
          <w:t xml:space="preserve">Решение</w:t>
        </w:r>
      </w:hyperlink>
      <w:r>
        <w:rPr>
          <w:sz w:val="24"/>
        </w:rPr>
        <w:t xml:space="preserve"> Арбитражного суда города Москвы от 18.02.2026 по делу N А40-229973/24-72-1675)</w:t>
      </w:r>
    </w:p>
    <w:p>
      <w:pPr>
        <w:pStyle w:val="0"/>
        <w:ind w:firstLine="540"/>
        <w:jc w:val="both"/>
      </w:pPr>
      <w:r>
        <w:rPr>
          <w:sz w:val="24"/>
        </w:rPr>
      </w:r>
    </w:p>
    <w:p>
      <w:pPr>
        <w:pStyle w:val="2"/>
        <w:outlineLvl w:val="0"/>
        <w:ind w:firstLine="540"/>
        <w:jc w:val="both"/>
      </w:pPr>
      <w:r>
        <w:rPr>
          <w:sz w:val="24"/>
        </w:rPr>
        <w:t xml:space="preserve">4. В закупке на выполнение работ по геологическому изучению недр вправе принять участие исключительно участник закупки, соответствующий дополнительным требованиям, предусмотренным </w:t>
      </w:r>
      <w:hyperlink w:history="0" r:id="rId100"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приложения к Постановлению N 2571.</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Комиссии по осуществлению закупок ФГБУ (далее - Комиссия по осуществлению закупок) при проведении ФГБУ (далее - Заказчик), Комиссией по осуществлению закупок открытого конкурса в электронной форме на право заключения контракта на проведение полевых и камеральных работ по региональному геологическому изучению недр (далее - Извещение, Конкурс, Работы).</w:t>
      </w:r>
    </w:p>
    <w:p>
      <w:pPr>
        <w:pStyle w:val="0"/>
        <w:spacing w:before="240" w:lineRule="auto"/>
        <w:ind w:firstLine="540"/>
        <w:jc w:val="both"/>
      </w:pPr>
      <w:r>
        <w:rPr>
          <w:sz w:val="24"/>
        </w:rPr>
        <w:t xml:space="preserve">По мнению Заявителя, его права нарушены действиями Комиссии по осуществлению закупок, неправомерно принявшей решение о признании заявки участника закупки (далее - Победитель) соответствующей требованиям Извещения и </w:t>
      </w:r>
      <w:hyperlink w:history="0" r:id="rId10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hyperlink w:history="0" r:id="rId10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12 части 1 статьи 42</w:t>
        </w:r>
      </w:hyperlink>
      <w:r>
        <w:rPr>
          <w:sz w:val="24"/>
        </w:rPr>
        <w:t xml:space="preserve"> Закона о контрактной системе установлено, что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требования, предъявляемые к участникам закупки в соответствии с </w:t>
      </w:r>
      <w:hyperlink w:history="0" r:id="rId10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31</w:t>
        </w:r>
      </w:hyperlink>
      <w:r>
        <w:rPr>
          <w:sz w:val="24"/>
        </w:rPr>
        <w:t xml:space="preserve"> Закона о контрактной системе, требования, предъявляемые к участникам закупки в соответствии с </w:t>
      </w:r>
      <w:hyperlink w:history="0" r:id="rId10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2</w:t>
        </w:r>
      </w:hyperlink>
      <w:r>
        <w:rPr>
          <w:sz w:val="24"/>
        </w:rPr>
        <w:t xml:space="preserve"> и </w:t>
      </w:r>
      <w:hyperlink w:history="0" r:id="rId10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history="0" r:id="rId10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1.1 статьи 31</w:t>
        </w:r>
      </w:hyperlink>
      <w:r>
        <w:rPr>
          <w:sz w:val="24"/>
        </w:rPr>
        <w:t xml:space="preserve"> Закона о контрактной системе (при наличии такого требования).</w:t>
      </w:r>
    </w:p>
    <w:p>
      <w:pPr>
        <w:pStyle w:val="0"/>
        <w:spacing w:before="240" w:lineRule="auto"/>
        <w:ind w:firstLine="540"/>
        <w:jc w:val="both"/>
      </w:pPr>
      <w:r>
        <w:rPr>
          <w:sz w:val="24"/>
        </w:rPr>
        <w:t xml:space="preserve">Согласно </w:t>
      </w:r>
      <w:hyperlink w:history="0" r:id="rId10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31</w:t>
        </w:r>
      </w:hyperlink>
      <w:r>
        <w:rPr>
          <w:sz w:val="24"/>
        </w:rPr>
        <w:t xml:space="preserve"> Закона о контрактной системе Правительство Российской Федерации вправе устанавливать к участникам закупок отдельных видов товаров, работ, услуг дополнительные требования.</w:t>
      </w:r>
    </w:p>
    <w:p>
      <w:pPr>
        <w:pStyle w:val="0"/>
        <w:spacing w:before="240" w:lineRule="auto"/>
        <w:ind w:firstLine="540"/>
        <w:jc w:val="both"/>
      </w:pPr>
      <w:r>
        <w:rPr>
          <w:sz w:val="24"/>
        </w:rPr>
        <w:t xml:space="preserve">Дополнительные </w:t>
      </w:r>
      <w:hyperlink w:history="0" r:id="rId10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требования</w:t>
        </w:r>
      </w:hyperlink>
      <w:r>
        <w:rPr>
          <w:sz w:val="24"/>
        </w:rPr>
        <w:t xml:space="preserve">, а также перечень документов, подтверждающих соответствие участников закупки таким требованиям, установлены Постановлением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в тексте настоящего обзора - Постановление N 2571).</w:t>
      </w:r>
    </w:p>
    <w:p>
      <w:pPr>
        <w:pStyle w:val="0"/>
        <w:spacing w:before="240" w:lineRule="auto"/>
        <w:ind w:firstLine="540"/>
        <w:jc w:val="both"/>
      </w:pPr>
      <w:hyperlink w:history="0" r:id="rId10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предусмотрено, что в случае проведения закупки на выполнение работ по геологическому изучению недр к участникам закупки необходимо установить дополнительные требования </w:t>
      </w:r>
      <w:r>
        <w:rPr>
          <w:sz w:val="24"/>
          <w:b w:val="on"/>
        </w:rPr>
        <w:t xml:space="preserve">о наличии у участника закупки</w:t>
      </w:r>
      <w:r>
        <w:rPr>
          <w:sz w:val="24"/>
        </w:rPr>
        <w:t xml:space="preserve">, в том числе на праве собственности и (или) на ином законном основании </w:t>
      </w:r>
      <w:r>
        <w:rPr>
          <w:sz w:val="24"/>
          <w:b w:val="on"/>
        </w:rPr>
        <w:t xml:space="preserve">на срок исполнения контракта</w:t>
      </w:r>
      <w:r>
        <w:rPr>
          <w:sz w:val="24"/>
        </w:rPr>
        <w:t xml:space="preserve">, включая гарантийные обязательства, оборудования и других материальных ресурсов с количественными, качественными и техническими характеристиками, установленными в извещении об осуществлении закупки (документации о закупке).</w:t>
      </w:r>
    </w:p>
    <w:p>
      <w:pPr>
        <w:pStyle w:val="0"/>
        <w:spacing w:before="240" w:lineRule="auto"/>
        <w:ind w:firstLine="540"/>
        <w:jc w:val="both"/>
      </w:pPr>
      <w:r>
        <w:rPr>
          <w:sz w:val="24"/>
        </w:rPr>
        <w:t xml:space="preserve">При этом одним из документов, подтверждающих соответствие участника закупки дополнительным требованиям, предусмотренным </w:t>
      </w:r>
      <w:hyperlink w:history="0" r:id="rId110"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является </w:t>
      </w:r>
      <w:r>
        <w:rPr>
          <w:sz w:val="24"/>
          <w:b w:val="on"/>
        </w:rPr>
        <w:t xml:space="preserve">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w:t>
      </w:r>
      <w:r>
        <w:rPr>
          <w:sz w:val="24"/>
        </w:rPr>
        <w:t xml:space="preserve"> и других материальных ресурсов с указанием их количественных, качественных и технических характеристик.</w:t>
      </w:r>
    </w:p>
    <w:p>
      <w:pPr>
        <w:pStyle w:val="0"/>
        <w:spacing w:before="240" w:lineRule="auto"/>
        <w:ind w:firstLine="540"/>
        <w:jc w:val="both"/>
      </w:pPr>
      <w:hyperlink w:history="0" r:id="rId1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3 части 12 статьи 48</w:t>
        </w:r>
      </w:hyperlink>
      <w:r>
        <w:rPr>
          <w:sz w:val="24"/>
        </w:rPr>
        <w:t xml:space="preserve"> Закона о контрактной системе установлено, что при рассмотрении вторых частей заявок на участие в закупке соответствующая заявка подлежит отклонению в случае несоответствия участника закупки требованиям, установленным в извещении об осуществлении закупки в соответствии с </w:t>
      </w:r>
      <w:hyperlink w:history="0" r:id="rId1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31</w:t>
        </w:r>
      </w:hyperlink>
      <w:r>
        <w:rPr>
          <w:sz w:val="24"/>
        </w:rPr>
        <w:t xml:space="preserve"> Закона о контрактной системе, требованиям, установленным в извещении об осуществлении закупки в соответствии с </w:t>
      </w:r>
      <w:hyperlink w:history="0" r:id="rId1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1.1</w:t>
        </w:r>
      </w:hyperlink>
      <w:r>
        <w:rPr>
          <w:sz w:val="24"/>
        </w:rPr>
        <w:t xml:space="preserve">, </w:t>
      </w:r>
      <w:hyperlink w:history="0" r:id="rId1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w:t>
        </w:r>
      </w:hyperlink>
      <w:r>
        <w:rPr>
          <w:sz w:val="24"/>
        </w:rPr>
        <w:t xml:space="preserve"> и </w:t>
      </w:r>
      <w:hyperlink w:history="0" r:id="rId1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w:t>
      </w:r>
    </w:p>
    <w:p>
      <w:pPr>
        <w:pStyle w:val="0"/>
        <w:spacing w:before="240" w:lineRule="auto"/>
        <w:ind w:firstLine="540"/>
        <w:jc w:val="both"/>
      </w:pPr>
      <w:r>
        <w:rPr>
          <w:sz w:val="24"/>
        </w:rPr>
        <w:t xml:space="preserve">Комиссией ФАС России по контролю в сфере закупок установлено, что Заказчиком в Извещении установлены предусмотренные </w:t>
      </w:r>
      <w:hyperlink w:history="0" r:id="rId11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дополнительные требования к участникам Конкурса, а именно наличие на праве собственности или ином законном основании на срок исполнения контракта в том числе научно-исследовательского судна, оснащенного необходимым геофизическим оборудованием.</w:t>
      </w:r>
    </w:p>
    <w:p>
      <w:pPr>
        <w:pStyle w:val="0"/>
        <w:spacing w:before="240" w:lineRule="auto"/>
        <w:ind w:firstLine="540"/>
        <w:jc w:val="both"/>
      </w:pPr>
      <w:r>
        <w:rPr>
          <w:sz w:val="24"/>
        </w:rPr>
        <w:t xml:space="preserve">Представители Заявителя на заседании Комиссии ФАС России сообщили, что у Победителя отсутствует на праве собственности или ином законном основании научно-исследовательское судно, соответствующее требованиям законодательства Российской Федерации, в связи с тем что на момент подачи заявок на рынке присутствовали лишь три организации, располагающие судами, плавающими под Государственным флагом Российской Федерации и способными выполнить работы, являющиеся предметом закупки, в перечень которых не входит Победитель.</w:t>
      </w:r>
    </w:p>
    <w:p>
      <w:pPr>
        <w:pStyle w:val="0"/>
        <w:spacing w:before="240" w:lineRule="auto"/>
        <w:ind w:firstLine="540"/>
        <w:jc w:val="both"/>
      </w:pPr>
      <w:r>
        <w:rPr>
          <w:sz w:val="24"/>
        </w:rPr>
        <w:t xml:space="preserve">Комиссией ФАС России установлено, что Победителем в качестве подтверждения соответствия дополнительным требованиям, предусмотренным </w:t>
      </w:r>
      <w:hyperlink w:history="0" r:id="rId117"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представлен в том числе договор фрахтования судна на время </w:t>
      </w:r>
      <w:r>
        <w:rPr>
          <w:sz w:val="24"/>
          <w:b w:val="on"/>
        </w:rPr>
        <w:t xml:space="preserve">(тайм-чартер)</w:t>
      </w:r>
      <w:r>
        <w:rPr>
          <w:sz w:val="24"/>
        </w:rPr>
        <w:t xml:space="preserve"> от 29.08.2025 N 17/25, заключенный между Победителем и компанией Tankerone Limited (далее - Договор), представленный в целях подтверждения наличия научно-исследовательского судна на срок исполнения контракта.</w:t>
      </w:r>
    </w:p>
    <w:p>
      <w:pPr>
        <w:pStyle w:val="0"/>
        <w:spacing w:before="240" w:lineRule="auto"/>
        <w:ind w:firstLine="540"/>
        <w:jc w:val="both"/>
      </w:pPr>
      <w:r>
        <w:rPr>
          <w:sz w:val="24"/>
        </w:rPr>
        <w:t xml:space="preserve">На заседании Комиссии ФАС России установлено, что Договор предусматривает предоставление на время в пользование Победителю судна Voyager Explorer под флагом Панамы (на условиях бербоут-чартера) / Сингапура (оригинальный) (далее - Судно).</w:t>
      </w:r>
    </w:p>
    <w:p>
      <w:pPr>
        <w:pStyle w:val="0"/>
        <w:spacing w:before="240" w:lineRule="auto"/>
        <w:ind w:firstLine="540"/>
        <w:jc w:val="both"/>
      </w:pPr>
      <w:r>
        <w:rPr>
          <w:sz w:val="24"/>
        </w:rPr>
        <w:t xml:space="preserve">При этом согласно </w:t>
      </w:r>
      <w:hyperlink w:history="0" r:id="rId118" w:tooltip="&quot;Кодекс торгового мореплавания Российской Федерации&quot; от 30.04.1999 N 81-ФЗ (ред. от 24.06.2025) ------------ Недействующая редакция {КонсультантПлюс}">
        <w:r>
          <w:rPr>
            <w:sz w:val="24"/>
            <w:color w:val="0000ff"/>
          </w:rPr>
          <w:t xml:space="preserve">пункту 1 статьи 4</w:t>
        </w:r>
      </w:hyperlink>
      <w:r>
        <w:rPr>
          <w:sz w:val="24"/>
        </w:rPr>
        <w:t xml:space="preserve"> Кодекса торгового мореплавания Российской Федерации от 30.04.1999 N 81-ФЗ (далее - Кодекс) </w:t>
      </w:r>
      <w:r>
        <w:rPr>
          <w:sz w:val="24"/>
          <w:b w:val="on"/>
        </w:rPr>
        <w:t xml:space="preserve">с использованием судов, плавающих под Государственным флагом Российской Федерации, осуществляются морские ресурсные исследования, разведка и разработка минеральных ресурсов морского дна и его недр во внутренних морских водах и (или) в территориальном море Российской Федерации</w:t>
      </w:r>
      <w:r>
        <w:rPr>
          <w:sz w:val="24"/>
        </w:rPr>
        <w:t xml:space="preserve">, в исключительной экономической зоне Российской Федерации и на континентальном шельфе Российской Федерации.</w:t>
      </w:r>
    </w:p>
    <w:p>
      <w:pPr>
        <w:pStyle w:val="0"/>
        <w:spacing w:before="240" w:lineRule="auto"/>
        <w:ind w:firstLine="540"/>
        <w:jc w:val="both"/>
      </w:pPr>
      <w:r>
        <w:rPr>
          <w:sz w:val="24"/>
        </w:rPr>
        <w:t xml:space="preserve">Представители Заказчика на заседании Комиссии ФАС России сообщили, что </w:t>
      </w:r>
      <w:hyperlink w:history="0" r:id="rId119" w:tooltip="&quot;Кодекс торгового мореплавания Российской Федерации&quot; от 30.04.1999 N 81-ФЗ (ред. от 24.06.2025) ------------ Недействующая редакция {КонсультантПлюс}">
        <w:r>
          <w:rPr>
            <w:sz w:val="24"/>
            <w:color w:val="0000ff"/>
          </w:rPr>
          <w:t xml:space="preserve">статьей 15</w:t>
        </w:r>
      </w:hyperlink>
      <w:r>
        <w:rPr>
          <w:sz w:val="24"/>
        </w:rPr>
        <w:t xml:space="preserve"> Кодекса предусмотрено временное предоставление иностранному судну права плавания под Государственным флагом Российской Федерации, в связи с чем Победитель при исполнении обязательств, предусмотренных контрактом, вправе получить на Судно временное право плавания под Государственным флагом Российской Федерации.</w:t>
      </w:r>
    </w:p>
    <w:p>
      <w:pPr>
        <w:pStyle w:val="0"/>
        <w:spacing w:before="240" w:lineRule="auto"/>
        <w:ind w:firstLine="540"/>
        <w:jc w:val="both"/>
      </w:pPr>
      <w:r>
        <w:rPr>
          <w:sz w:val="24"/>
        </w:rPr>
        <w:t xml:space="preserve">Вместе с тем Комиссия ФАС России отметила, что согласно </w:t>
      </w:r>
      <w:hyperlink w:history="0" r:id="rId120" w:tooltip="&quot;Кодекс торгового мореплавания Российской Федерации&quot; от 30.04.1999 N 81-ФЗ (ред. от 24.06.2025) ------------ Недействующая редакция {КонсультантПлюс}">
        <w:r>
          <w:rPr>
            <w:sz w:val="24"/>
            <w:color w:val="0000ff"/>
          </w:rPr>
          <w:t xml:space="preserve">пункту 2 статьи 15</w:t>
        </w:r>
      </w:hyperlink>
      <w:r>
        <w:rPr>
          <w:sz w:val="24"/>
        </w:rPr>
        <w:t xml:space="preserve"> Кодекса по заявлению фрахтователя право плавания под Государственным флагом Российской Федерации может быть временно предоставлено судну, зарегистрированному в реестре судов иностранного государства и предоставленному в пользование и во владение российскому фрахтователю </w:t>
      </w:r>
      <w:r>
        <w:rPr>
          <w:sz w:val="24"/>
          <w:b w:val="on"/>
        </w:rPr>
        <w:t xml:space="preserve">по договору фрахтования судна без экипажа (бербоут-чартеру)</w:t>
      </w:r>
      <w:r>
        <w:rPr>
          <w:sz w:val="24"/>
        </w:rPr>
        <w:t xml:space="preserve">.</w:t>
      </w:r>
    </w:p>
    <w:p>
      <w:pPr>
        <w:pStyle w:val="0"/>
        <w:spacing w:before="240" w:lineRule="auto"/>
        <w:ind w:firstLine="540"/>
        <w:jc w:val="both"/>
      </w:pPr>
      <w:r>
        <w:rPr>
          <w:sz w:val="24"/>
        </w:rPr>
        <w:t xml:space="preserve">Комиссией ФАС России установлено, что </w:t>
      </w:r>
      <w:r>
        <w:rPr>
          <w:sz w:val="24"/>
          <w:b w:val="on"/>
        </w:rPr>
        <w:t xml:space="preserve">Победителем представлен Договор</w:t>
      </w:r>
      <w:r>
        <w:rPr>
          <w:sz w:val="24"/>
        </w:rPr>
        <w:t xml:space="preserve"> на фрахтования судна на время </w:t>
      </w:r>
      <w:r>
        <w:rPr>
          <w:sz w:val="24"/>
          <w:b w:val="on"/>
        </w:rPr>
        <w:t xml:space="preserve">(тайм-чартер), то есть с экипажем</w:t>
      </w:r>
      <w:r>
        <w:rPr>
          <w:sz w:val="24"/>
        </w:rPr>
        <w:t xml:space="preserve">, что не соответствует требованиям </w:t>
      </w:r>
      <w:hyperlink w:history="0" r:id="rId121" w:tooltip="&quot;Кодекс торгового мореплавания Российской Федерации&quot; от 30.04.1999 N 81-ФЗ (ред. от 24.06.2025) ------------ Недействующая редакция {КонсультантПлюс}">
        <w:r>
          <w:rPr>
            <w:sz w:val="24"/>
            <w:color w:val="0000ff"/>
          </w:rPr>
          <w:t xml:space="preserve">статьи 15</w:t>
        </w:r>
      </w:hyperlink>
      <w:r>
        <w:rPr>
          <w:sz w:val="24"/>
        </w:rPr>
        <w:t xml:space="preserve"> Кодекса.</w:t>
      </w:r>
    </w:p>
    <w:p>
      <w:pPr>
        <w:pStyle w:val="0"/>
        <w:spacing w:before="240" w:lineRule="auto"/>
        <w:ind w:firstLine="540"/>
        <w:jc w:val="both"/>
      </w:pPr>
      <w:r>
        <w:rPr>
          <w:sz w:val="24"/>
        </w:rPr>
        <w:t xml:space="preserve">В соответствии с </w:t>
      </w:r>
      <w:hyperlink w:history="0" r:id="rId1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3 части 6 статьи 43</w:t>
        </w:r>
      </w:hyperlink>
      <w:r>
        <w:rPr>
          <w:sz w:val="24"/>
        </w:rPr>
        <w:t xml:space="preserve"> Закона о контрактной системе документы, подтверждающие соответствие Победителя дополнительным требованиям, предусмотренным </w:t>
      </w:r>
      <w:hyperlink w:history="0" r:id="rId123"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направляются заказчику оператором электронной площадки из реестра участников закупок, аккредитованных на электронной площадке.</w:t>
      </w:r>
    </w:p>
    <w:p>
      <w:pPr>
        <w:pStyle w:val="0"/>
        <w:spacing w:before="240" w:lineRule="auto"/>
        <w:ind w:firstLine="540"/>
        <w:jc w:val="both"/>
      </w:pPr>
      <w:r>
        <w:rPr>
          <w:sz w:val="24"/>
        </w:rPr>
        <w:t xml:space="preserve">При этом в составе документов, размещенных на сайте Оператора электронной площадки, подтверждающих соответствие Победителя дополнительным требованиям, предусмотренным </w:t>
      </w:r>
      <w:hyperlink w:history="0" r:id="rId12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отсутствуют сведения о наличии у Победителя на праве собственности или ином законном основании научно-исследовательского судна, предоставляющего Победителю право осуществлять на срок исполнения контракта работы в соответствии с требованиями действующего законодательства Российской Федерации.</w:t>
      </w:r>
    </w:p>
    <w:p>
      <w:pPr>
        <w:pStyle w:val="0"/>
        <w:spacing w:before="240" w:lineRule="auto"/>
        <w:ind w:firstLine="540"/>
        <w:jc w:val="both"/>
      </w:pPr>
      <w:r>
        <w:rPr>
          <w:sz w:val="24"/>
        </w:rPr>
        <w:t xml:space="preserve">Таким образом, Комиссия ФАС России, изучив представленные документы и сведения, пришла к выводу, что действия Комиссии по осуществлению закупок, признавшей заявку Победителя соответствующей требованиям Извещения, нарушают положения </w:t>
      </w:r>
      <w:hyperlink w:history="0" r:id="rId1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11 статьи 48</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126"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7 статьи 7.30.1</w:t>
        </w:r>
      </w:hyperlink>
      <w:r>
        <w:rPr>
          <w:sz w:val="24"/>
        </w:rPr>
        <w:t xml:space="preserve"> КоАП, а также выдала предписание об устранении нарушений.</w:t>
      </w:r>
    </w:p>
    <w:p>
      <w:pPr>
        <w:pStyle w:val="0"/>
        <w:spacing w:before="240" w:lineRule="auto"/>
        <w:ind w:firstLine="540"/>
        <w:jc w:val="both"/>
      </w:pPr>
      <w:r>
        <w:rPr>
          <w:sz w:val="24"/>
        </w:rPr>
        <w:t xml:space="preserve">Заказчик, не согласившись с </w:t>
      </w:r>
      <w:hyperlink w:history="0" r:id="rId127" w:tooltip="Ссылка на КонсультантПлюс">
        <w:r>
          <w:rPr>
            <w:sz w:val="24"/>
            <w:color w:val="0000ff"/>
          </w:rPr>
          <w:t xml:space="preserve">Решением</w:t>
        </w:r>
      </w:hyperlink>
      <w:r>
        <w:rPr>
          <w:sz w:val="24"/>
        </w:rPr>
        <w:t xml:space="preserve"> и </w:t>
      </w:r>
      <w:hyperlink w:history="0" r:id="rId128" w:tooltip="Ссылка на КонсультантПлюс">
        <w:r>
          <w:rPr>
            <w:sz w:val="24"/>
            <w:color w:val="0000ff"/>
          </w:rPr>
          <w:t xml:space="preserve">Предписанием</w:t>
        </w:r>
      </w:hyperlink>
      <w:r>
        <w:rPr>
          <w:sz w:val="24"/>
        </w:rPr>
        <w:t xml:space="preserve"> ФАС России, обжаловал их в судебном порядке.</w:t>
      </w:r>
    </w:p>
    <w:p>
      <w:pPr>
        <w:pStyle w:val="0"/>
        <w:spacing w:before="240" w:lineRule="auto"/>
        <w:ind w:firstLine="540"/>
        <w:jc w:val="both"/>
      </w:pPr>
      <w:r>
        <w:rPr>
          <w:sz w:val="24"/>
        </w:rPr>
        <w:t xml:space="preserve">Суд, рассмотрев материалы дела, заслушав представителей сторон, пришел к следующим выводам:</w:t>
      </w:r>
    </w:p>
    <w:p>
      <w:pPr>
        <w:pStyle w:val="0"/>
        <w:spacing w:before="240" w:lineRule="auto"/>
        <w:ind w:firstLine="540"/>
        <w:jc w:val="both"/>
      </w:pPr>
      <w:r>
        <w:rPr>
          <w:sz w:val="24"/>
        </w:rPr>
        <w:t xml:space="preserve">"...В составе документов, размещенных на сайте Оператора электронной площадки, подтверждающих соответствие Победителя дополнительным требованиям, предусмотренным </w:t>
      </w:r>
      <w:hyperlink w:history="0" r:id="rId12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39</w:t>
        </w:r>
      </w:hyperlink>
      <w:r>
        <w:rPr>
          <w:sz w:val="24"/>
        </w:rPr>
        <w:t xml:space="preserve"> Постановления N 2571, отсутствуют сведения о наличии у Победителя на праве собственности или ином законном основании научно-исследовательского судна, предоставляющего Победителю право осуществлять на срок исполнения контракта Работы, в соответствии с требованиями действующего законодательства Российской Федерации.</w:t>
      </w:r>
    </w:p>
    <w:p>
      <w:pPr>
        <w:pStyle w:val="0"/>
        <w:spacing w:before="240" w:lineRule="auto"/>
        <w:ind w:firstLine="540"/>
        <w:jc w:val="both"/>
      </w:pPr>
      <w:r>
        <w:rPr>
          <w:sz w:val="24"/>
          <w:i w:val="on"/>
        </w:rPr>
        <w:t xml:space="preserve">...Таким образом, Комиссия ФАС России, изучив представленные документы и сведения, правомерно пришла к выводу, что действия Комиссии по осуществлению закупок, признавшей заявку Победителя соответствующей требованиям Извещения, нарушают положения </w:t>
      </w:r>
      <w:hyperlink w:history="0" r:id="rId1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i w:val="on"/>
          </w:rPr>
          <w:t xml:space="preserve">пункта 1 части 11 статьи 48</w:t>
        </w:r>
      </w:hyperlink>
      <w:r>
        <w:rPr>
          <w:sz w:val="24"/>
          <w:i w:val="on"/>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131"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i w:val="on"/>
          </w:rPr>
          <w:t xml:space="preserve">частью 7 статьи 7.30.1</w:t>
        </w:r>
      </w:hyperlink>
      <w:r>
        <w:rPr>
          <w:sz w:val="24"/>
          <w:i w:val="on"/>
        </w:rPr>
        <w:t xml:space="preserve"> КоАП РФ</w:t>
      </w:r>
      <w:r>
        <w:rPr>
          <w:sz w:val="24"/>
        </w:rPr>
        <w:t xml:space="preserve">".</w:t>
      </w:r>
    </w:p>
    <w:p>
      <w:pPr>
        <w:pStyle w:val="0"/>
        <w:spacing w:before="240" w:lineRule="auto"/>
        <w:ind w:firstLine="540"/>
        <w:jc w:val="both"/>
      </w:pPr>
      <w:r>
        <w:rPr>
          <w:sz w:val="24"/>
        </w:rPr>
        <w:t xml:space="preserve">С учетом изложенного, Заказчику отказано в удовлетворении заявленных требований.</w:t>
      </w:r>
    </w:p>
    <w:p>
      <w:pPr>
        <w:pStyle w:val="0"/>
        <w:spacing w:before="240" w:lineRule="auto"/>
        <w:ind w:firstLine="540"/>
        <w:jc w:val="both"/>
      </w:pPr>
      <w:r>
        <w:rPr>
          <w:sz w:val="24"/>
        </w:rPr>
        <w:t xml:space="preserve">(</w:t>
      </w:r>
      <w:hyperlink w:history="0" r:id="rId132" w:tooltip="Ссылка на КонсультантПлюс">
        <w:r>
          <w:rPr>
            <w:sz w:val="24"/>
            <w:color w:val="0000ff"/>
          </w:rPr>
          <w:t xml:space="preserve">Решение</w:t>
        </w:r>
      </w:hyperlink>
      <w:r>
        <w:rPr>
          <w:sz w:val="24"/>
        </w:rPr>
        <w:t xml:space="preserve"> Арбитражного суда города Москвы от 10.02.2026 по делу N А40-300717/25-84-2113)</w:t>
      </w:r>
    </w:p>
    <w:p>
      <w:pPr>
        <w:pStyle w:val="0"/>
        <w:ind w:firstLine="540"/>
        <w:jc w:val="both"/>
      </w:pPr>
      <w:r>
        <w:rPr>
          <w:sz w:val="24"/>
        </w:rPr>
      </w:r>
    </w:p>
    <w:p>
      <w:pPr>
        <w:pStyle w:val="2"/>
        <w:outlineLvl w:val="0"/>
        <w:ind w:firstLine="540"/>
        <w:jc w:val="both"/>
      </w:pPr>
      <w:r>
        <w:rPr>
          <w:sz w:val="24"/>
        </w:rPr>
        <w:t xml:space="preserve">5. Участнику закупки, выступавшему застройщиком по исполненному договору на строительство или реконструкцию объекта капитального строительства (кроме линейных объектов), не требуется представлять сам договор для подтверждения наличия соответствующего опыта.</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комиссии по осуществлению закупок ГКУ (далее - Комиссия по осуществлению закупок) при проведении ГКУ (далее - Заказчик), ГКУ (далее - Уполномоченный орган), Комиссией по осуществлению закупок, АО "ТЭК-Торг" (далее - Оператор электронной площадки) открытого конкурса в электронной форме на право заключения контракта на выполнение работ по подготовке проектной документации, выполнению инженерных изысканий, выполнению работ по строительству, поставке оборудования для обеспечения эксплуатации объекта капитального строительства "Школа в г. Якутске, ул. Чайковского, 113" (далее - Объект) (далее - Конкурс, Извещение).</w:t>
      </w:r>
    </w:p>
    <w:p>
      <w:pPr>
        <w:pStyle w:val="0"/>
        <w:spacing w:before="240" w:lineRule="auto"/>
        <w:ind w:firstLine="540"/>
        <w:jc w:val="both"/>
      </w:pPr>
      <w:r>
        <w:rPr>
          <w:sz w:val="24"/>
        </w:rPr>
        <w:t xml:space="preserve">По мнению Заявителя, его права и законные интересы нарушены действиями Комиссии по осуществлению закупок, ненадлежащим образом применившей положения порядка рассмотрения и оценки заявок на участие в Конкурсе (далее - Порядок оценки) в отношении заявки Заявителя по детализирующим показателям "Общая цена исполненных участником закупки договоров" (далее - Детализирующий показатель N 1), "Общее количество исполненных участником закупки договоров" (далее - Детализирующий показатель N 2), "Наибольшая цена одного из исполненных участником закупки договоров" (далее - Детализирующий показатель N 3) показателя "Наличие у участников закупки опыта выполнения работ, связанного с предметом контракта" критерия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Критерий).</w:t>
      </w:r>
    </w:p>
    <w:p>
      <w:pPr>
        <w:pStyle w:val="0"/>
        <w:spacing w:before="240" w:lineRule="auto"/>
        <w:ind w:firstLine="540"/>
        <w:jc w:val="both"/>
      </w:pPr>
      <w:hyperlink w:history="0" r:id="rId133"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Положение</w:t>
        </w:r>
      </w:hyperlink>
      <w:r>
        <w:rPr>
          <w:sz w:val="24"/>
        </w:rPr>
        <w:t xml:space="preserve"> об оценке заявок на участие в закупке товаров, работ, услуг для обеспечения государственных и муниципальных нужд утверждено Постановлением Правительства Российской Федерации от 31.12.2021 N 2604 (далее - Положение).</w:t>
      </w:r>
    </w:p>
    <w:p>
      <w:pPr>
        <w:pStyle w:val="0"/>
        <w:spacing w:before="240" w:lineRule="auto"/>
        <w:ind w:firstLine="540"/>
        <w:jc w:val="both"/>
      </w:pPr>
      <w:hyperlink w:history="0" r:id="rId134"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"в" пункта 24</w:t>
        </w:r>
      </w:hyperlink>
      <w:r>
        <w:rPr>
          <w:sz w:val="24"/>
        </w:rPr>
        <w:t xml:space="preserve"> Положения установлено, что для оценки заявок по критерию оценки "Квалификация участников закупки" применяется, если иное не предусмотрено Положением, в том числе показатель оценки "Наличие у участников закупки опыта поставки товара, выполнения работы, оказания услуги, связанного с предметом контракта".</w:t>
      </w:r>
    </w:p>
    <w:p>
      <w:pPr>
        <w:pStyle w:val="0"/>
        <w:spacing w:before="240" w:lineRule="auto"/>
        <w:ind w:firstLine="540"/>
        <w:jc w:val="both"/>
      </w:pPr>
      <w:r>
        <w:rPr>
          <w:sz w:val="24"/>
        </w:rPr>
        <w:t xml:space="preserve">Согласно </w:t>
      </w:r>
      <w:hyperlink w:history="0" r:id="rId135"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подпункту "г" пункта 28</w:t>
        </w:r>
      </w:hyperlink>
      <w:r>
        <w:rPr>
          <w:sz w:val="24"/>
        </w:rPr>
        <w:t xml:space="preserve"> Положения в случае применения показателя оценки, предусмотренного </w:t>
      </w:r>
      <w:hyperlink w:history="0" r:id="rId136"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"в" пункта 24</w:t>
        </w:r>
      </w:hyperlink>
      <w:r>
        <w:rPr>
          <w:sz w:val="24"/>
        </w:rPr>
        <w:t xml:space="preserve"> Положения последний акт, составленный при исполнении договора и предусмотренный </w:t>
      </w:r>
      <w:hyperlink w:history="0" r:id="rId137"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абзацем третьим подпункта "в" пункта 28</w:t>
        </w:r>
      </w:hyperlink>
      <w:r>
        <w:rPr>
          <w:sz w:val="24"/>
        </w:rPr>
        <w:t xml:space="preserve"> Положения, должен быть подписан не ранее чем за 5 лет до даты окончания срока подачи заявок.</w:t>
      </w:r>
    </w:p>
    <w:p>
      <w:pPr>
        <w:pStyle w:val="0"/>
        <w:spacing w:before="240" w:lineRule="auto"/>
        <w:ind w:firstLine="540"/>
        <w:jc w:val="both"/>
      </w:pPr>
      <w:r>
        <w:rPr>
          <w:sz w:val="24"/>
        </w:rPr>
        <w:t xml:space="preserve">В соответствии с </w:t>
      </w:r>
      <w:hyperlink w:history="0" r:id="rId138"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"е" пункта 31</w:t>
        </w:r>
      </w:hyperlink>
      <w:r>
        <w:rPr>
          <w:sz w:val="24"/>
        </w:rPr>
        <w:t xml:space="preserve"> Положения при осуществлении закупки, по результатам проведения которой заключается контракт, предусматривающий выполнение работ по 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 если работы, являющиеся объектом закупки,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документом, предусмотренным </w:t>
      </w:r>
      <w:hyperlink w:history="0" r:id="rId139"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приложением N 1</w:t>
        </w:r>
      </w:hyperlink>
      <w:r>
        <w:rPr>
          <w:sz w:val="24"/>
        </w:rPr>
        <w:t xml:space="preserve"> к Положению, в отношении показателя оценки, предусмотренного </w:t>
      </w:r>
      <w:hyperlink w:history="0" r:id="rId140"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подпунктом "в" пункта 24</w:t>
        </w:r>
      </w:hyperlink>
      <w:r>
        <w:rPr>
          <w:sz w:val="24"/>
        </w:rPr>
        <w:t xml:space="preserve"> Положения, его детализирующих показателей может быть установлено положение о принятии к оценке исключительно исполненного договора (договоров), предусматривающего (предусматривающих) выполнение работ,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p>
    <w:p>
      <w:pPr>
        <w:pStyle w:val="0"/>
        <w:spacing w:before="240" w:lineRule="auto"/>
        <w:ind w:firstLine="540"/>
        <w:jc w:val="both"/>
      </w:pPr>
      <w:r>
        <w:rPr>
          <w:sz w:val="24"/>
        </w:rPr>
        <w:t xml:space="preserve">Комиссией установлено, что Заказчиком в Порядке оценки установлены Детализирующие показатели N 1, N 2 и N 3 Критерия, согласно которому к оценке принимаются следующие документы:</w:t>
      </w:r>
    </w:p>
    <w:p>
      <w:pPr>
        <w:pStyle w:val="0"/>
        <w:spacing w:before="240" w:lineRule="auto"/>
        <w:ind w:firstLine="540"/>
        <w:jc w:val="both"/>
      </w:pPr>
      <w:r>
        <w:rPr>
          <w:sz w:val="24"/>
        </w:rPr>
        <w:t xml:space="preserve">- исполненный контракт (договор), включая все приложения к такому контракту(ам) (договору(ам));</w:t>
      </w:r>
    </w:p>
    <w:p>
      <w:pPr>
        <w:pStyle w:val="0"/>
        <w:spacing w:before="240" w:lineRule="auto"/>
        <w:ind w:firstLine="540"/>
        <w:jc w:val="both"/>
      </w:pPr>
      <w:r>
        <w:rPr>
          <w:sz w:val="24"/>
        </w:rPr>
        <w:t xml:space="preserve">- акты приемки выполненных работ, составленные при исполнении такого контракта(ов) (договора(ов)), и дополнительные соглашения (при наличии);</w:t>
      </w:r>
    </w:p>
    <w:p>
      <w:pPr>
        <w:pStyle w:val="0"/>
        <w:spacing w:before="240" w:lineRule="auto"/>
        <w:ind w:firstLine="540"/>
        <w:jc w:val="both"/>
      </w:pPr>
      <w:r>
        <w:rPr>
          <w:sz w:val="24"/>
        </w:rPr>
        <w:t xml:space="preserve">- разрешение на ввод объекта капитального строительства в эксплуатацию.</w:t>
      </w:r>
    </w:p>
    <w:p>
      <w:pPr>
        <w:pStyle w:val="0"/>
        <w:spacing w:before="240" w:lineRule="auto"/>
        <w:ind w:firstLine="540"/>
        <w:jc w:val="both"/>
      </w:pPr>
      <w:r>
        <w:rPr>
          <w:sz w:val="24"/>
        </w:rPr>
        <w:t xml:space="preserve">В соответствии с Порядком оценки Комиссией по осуществлению закупок принимаются к оценке исключительно исполненные контракты (договоры), предусматривающие выполнение работ,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w:t>
      </w:r>
    </w:p>
    <w:p>
      <w:pPr>
        <w:pStyle w:val="0"/>
        <w:spacing w:before="240" w:lineRule="auto"/>
        <w:ind w:firstLine="540"/>
        <w:jc w:val="both"/>
      </w:pPr>
      <w:r>
        <w:rPr>
          <w:sz w:val="24"/>
        </w:rPr>
        <w:t xml:space="preserve">На заседании Комиссии установлено, что Заявителем в качестве подтверждения наличия опыта по Детализирующим показателям N 1, N 2 и N 3 Критерия в составе заявки представлено 8 контрактов, при этом Заказчиком приняты только 3 контракта на общую сумму 893 030 673,42 руб.</w:t>
      </w:r>
    </w:p>
    <w:p>
      <w:pPr>
        <w:pStyle w:val="0"/>
        <w:spacing w:before="240" w:lineRule="auto"/>
        <w:ind w:firstLine="540"/>
        <w:jc w:val="both"/>
      </w:pPr>
      <w:r>
        <w:rPr>
          <w:sz w:val="24"/>
        </w:rPr>
        <w:t xml:space="preserve">Представители Уполномоченного органа сообщили, что 4 из 8 представленных Заявителем договора не соответствуют требованиям Порядка оценки по причине того, что Заявитель является одновременно заказчиком и подрядчиком по вышеуказанным договорам.</w:t>
      </w:r>
    </w:p>
    <w:p>
      <w:pPr>
        <w:pStyle w:val="0"/>
        <w:spacing w:before="240" w:lineRule="auto"/>
        <w:ind w:firstLine="540"/>
        <w:jc w:val="both"/>
      </w:pPr>
      <w:r>
        <w:rPr>
          <w:sz w:val="24"/>
        </w:rPr>
        <w:t xml:space="preserve">Вместе с тем Комиссией было установлено, что указанные договора представлены Заявителем в полном объеме и соответствуют требованиям, предусмотренным Порядком оценки. Также Комиссией путем направления запросов получено подтверждение выдачи разрешений на ввод объектов капитального строительства в эксплуатацию по представленным договорам.</w:t>
      </w:r>
    </w:p>
    <w:p>
      <w:pPr>
        <w:pStyle w:val="0"/>
        <w:spacing w:before="240" w:lineRule="auto"/>
        <w:ind w:firstLine="540"/>
        <w:jc w:val="both"/>
      </w:pPr>
      <w:r>
        <w:rPr>
          <w:sz w:val="24"/>
        </w:rPr>
        <w:t xml:space="preserve">Учитывая изложенное, Комиссия ФАС России в решении от 15.04.2025 по делу N 28/06/105-2445/2025 установила в действиях Комиссии по осуществлению закупки нарушение </w:t>
      </w:r>
      <w:hyperlink w:history="0" r:id="rId1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11 статьи 48</w:t>
        </w:r>
      </w:hyperlink>
      <w:r>
        <w:rPr>
          <w:sz w:val="24"/>
        </w:rPr>
        <w:t xml:space="preserve"> Закона о контрактной системе (далее - Решение ФАС России) и выдала предписание от 15.04.2025 по делу N 28/06/105-2445/2025 (далее - Предписание ФАС России).</w:t>
      </w:r>
    </w:p>
    <w:p>
      <w:pPr>
        <w:pStyle w:val="0"/>
        <w:spacing w:before="240" w:lineRule="auto"/>
        <w:ind w:firstLine="540"/>
        <w:jc w:val="both"/>
      </w:pPr>
      <w:r>
        <w:rPr>
          <w:sz w:val="24"/>
        </w:rPr>
        <w:t xml:space="preserve">Заказчик, не согласившись с Решением и Предписанием ФАС России, обжаловал их в Арбитражный суд города Москвы.</w:t>
      </w:r>
    </w:p>
    <w:p>
      <w:pPr>
        <w:pStyle w:val="0"/>
        <w:spacing w:before="240" w:lineRule="auto"/>
        <w:ind w:firstLine="540"/>
        <w:jc w:val="both"/>
      </w:pPr>
      <w:r>
        <w:rPr>
          <w:sz w:val="24"/>
        </w:rPr>
        <w:t xml:space="preserve">Арбитражным судом города Москвы в удовлетворении требований Заказчика отказано, а Решение и Предписание ФАС России признаны законными и обоснованными. В части доводов Заказчика отмечено:</w:t>
      </w:r>
    </w:p>
    <w:p>
      <w:pPr>
        <w:pStyle w:val="0"/>
        <w:spacing w:before="240" w:lineRule="auto"/>
        <w:ind w:firstLine="540"/>
        <w:jc w:val="both"/>
      </w:pPr>
      <w:r>
        <w:rPr>
          <w:sz w:val="24"/>
          <w:i w:val="on"/>
        </w:rPr>
        <w:t xml:space="preserve">"...Суд соглашается с мнением ФАС России о том, что постановлением не содержит в себе конкретизации того, какими документами подтверждается наличие опыта по выполнению работ по строительству, реконструкции, капитальному ремонту, сносу объекта капитального строительства у участника закупки, являющегося застройщиком по договорам на выполнение указанных видов работ, какими документами подтверждается наличие именно исполненного договора по указанным видам работ у таких участников закупки, представляющих в своей заявке такие исполненные договоры для целей оценки по критериям, предусмотренным </w:t>
      </w:r>
      <w:hyperlink w:history="0" r:id="rId142" w:tooltip="Постановление Правительства РФ от 31.12.2021 N 2604 (ред. от 23.09.202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i w:val="on"/>
          </w:rPr>
          <w:t xml:space="preserve">пунктом "в" пункта 31</w:t>
        </w:r>
      </w:hyperlink>
      <w:r>
        <w:rPr>
          <w:sz w:val="24"/>
          <w:i w:val="on"/>
        </w:rPr>
        <w:t xml:space="preserve"> Постановления N 2604, как это установлено в </w:t>
      </w:r>
      <w:hyperlink w:history="0" r:id="rId143"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Постановлении</w:t>
        </w:r>
      </w:hyperlink>
      <w:r>
        <w:rPr>
          <w:sz w:val="24"/>
          <w:i w:val="on"/>
        </w:rPr>
        <w:t xml:space="preserve">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(далее - Постановление N 2571).</w:t>
      </w:r>
    </w:p>
    <w:p>
      <w:pPr>
        <w:pStyle w:val="0"/>
        <w:spacing w:before="240" w:lineRule="auto"/>
        <w:ind w:firstLine="540"/>
        <w:jc w:val="both"/>
      </w:pPr>
      <w:r>
        <w:rPr>
          <w:sz w:val="24"/>
          <w:i w:val="on"/>
        </w:rPr>
        <w:t xml:space="preserve">...представляется целесообразным применение норм </w:t>
      </w:r>
      <w:hyperlink w:history="0" r:id="rId14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Постановления</w:t>
        </w:r>
      </w:hyperlink>
      <w:r>
        <w:rPr>
          <w:sz w:val="24"/>
          <w:i w:val="on"/>
        </w:rPr>
        <w:t xml:space="preserve"> N 2571 в части конкретизации информации и документов, которыми подтверждается наличие опыта у участника закупки по выполнению работ по строительству, реконструкции объекта капитального строительства, за исключением линейного объекта, являющегося застройщиком по договорам на выполнение указанных видов работ.</w:t>
      </w:r>
    </w:p>
    <w:p>
      <w:pPr>
        <w:pStyle w:val="0"/>
        <w:spacing w:before="240" w:lineRule="auto"/>
        <w:ind w:firstLine="540"/>
        <w:jc w:val="both"/>
      </w:pPr>
      <w:r>
        <w:rPr>
          <w:sz w:val="24"/>
          <w:i w:val="on"/>
        </w:rPr>
        <w:t xml:space="preserve">Таким образом, не требуется предоставление участниками закупки, являющихся застройщиками по исполненным договорам на выполнение работ по строительству, реконструкции объекта капитального строительства (за исключением линейного объекта), договора как такового для подтверждения наличия указанного опыта. При этом исходя из </w:t>
      </w:r>
      <w:hyperlink w:history="0" r:id="rId145"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i w:val="on"/>
          </w:rPr>
          <w:t xml:space="preserve">Постановления</w:t>
        </w:r>
      </w:hyperlink>
      <w:r>
        <w:rPr>
          <w:sz w:val="24"/>
          <w:i w:val="on"/>
        </w:rPr>
        <w:t xml:space="preserve"> N 2571 наличие такого опыта подтверждается представлением раздела "Смета на строительство, реконструкцию, капитальный ремонт, снос объекта капитального строительства" проектной документации 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p>
      <w:pPr>
        <w:pStyle w:val="0"/>
        <w:spacing w:before="240" w:lineRule="auto"/>
        <w:ind w:firstLine="540"/>
        <w:jc w:val="both"/>
      </w:pPr>
      <w:r>
        <w:rPr>
          <w:sz w:val="24"/>
        </w:rPr>
        <w:t xml:space="preserve">Девятый арбитражный апелляционный суд, оставляя в силе </w:t>
      </w:r>
      <w:hyperlink w:history="0" r:id="rId146" w:tooltip="Ссылка на КонсультантПлюс">
        <w:r>
          <w:rPr>
            <w:sz w:val="24"/>
            <w:color w:val="0000ff"/>
          </w:rPr>
          <w:t xml:space="preserve">решение</w:t>
        </w:r>
      </w:hyperlink>
      <w:r>
        <w:rPr>
          <w:sz w:val="24"/>
        </w:rPr>
        <w:t xml:space="preserve"> суда первой инстанции, пришел к следующим выводам:</w:t>
      </w:r>
    </w:p>
    <w:p>
      <w:pPr>
        <w:pStyle w:val="0"/>
        <w:spacing w:before="240" w:lineRule="auto"/>
        <w:ind w:firstLine="540"/>
        <w:jc w:val="both"/>
      </w:pPr>
      <w:r>
        <w:rPr>
          <w:sz w:val="24"/>
          <w:i w:val="on"/>
        </w:rPr>
        <w:t xml:space="preserve">"...Заказчик ненадлежащим образом применил Порядок оценки в отношении заявки Заявителя по Детализирующим показателям N 1, N 2 и N 3 Критерия, установленным в Порядке оценки, так как Договоры N 1 - 4 соответствуют требования Порядка оценки, установленного Заказчиком".</w:t>
      </w:r>
    </w:p>
    <w:p>
      <w:pPr>
        <w:pStyle w:val="0"/>
        <w:spacing w:before="240" w:lineRule="auto"/>
        <w:ind w:firstLine="540"/>
        <w:jc w:val="both"/>
      </w:pPr>
      <w:r>
        <w:rPr>
          <w:sz w:val="24"/>
        </w:rPr>
        <w:t xml:space="preserve">С учетом изложенного, Заказчику отказано в удовлетворении заявленных требований.</w:t>
      </w:r>
    </w:p>
    <w:p>
      <w:pPr>
        <w:pStyle w:val="0"/>
        <w:spacing w:before="240" w:lineRule="auto"/>
        <w:ind w:firstLine="540"/>
        <w:jc w:val="both"/>
      </w:pPr>
      <w:r>
        <w:rPr>
          <w:sz w:val="24"/>
        </w:rPr>
        <w:t xml:space="preserve">(</w:t>
      </w:r>
      <w:hyperlink w:history="0" r:id="rId147" w:tooltip="Постановление Девятого арбитражного апелляционного суда от 13.02.2026 N 09АП-64541/2025 по делу N А40-171255/2025 Категория: Споры в сфере закупок для государственных и муниципальных нужд. Требования заказчика: О признании недействительным акта о нарушении процедуры рассмотрения конкурсных заявок. Обстоятельства: Действия комиссии по осуществлению закупок соответствуют требованиям законодательства о контрактной системе. Заказчиком не представлено доказательств нарушения его прав. Решение: Отказано. {КонсультантПлюс}">
        <w:r>
          <w:rPr>
            <w:sz w:val="24"/>
            <w:color w:val="0000ff"/>
          </w:rPr>
          <w:t xml:space="preserve">Постановление</w:t>
        </w:r>
      </w:hyperlink>
      <w:r>
        <w:rPr>
          <w:sz w:val="24"/>
        </w:rPr>
        <w:t xml:space="preserve"> Девятого арбитражного апелляционного суда от 13.02.2026 N 09АП-64541/2025 по делу N А40-171255/2025)</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в сфере закупок для государственных и муниципальных нужд (февраль 2026 года)"</w:t>
            <w:br/>
            <w:t>(Управление контр...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57532&amp;date=10.08.2026&amp;dst=100980&amp;field=134" TargetMode = "External"/><Relationship Id="rId9" Type="http://schemas.openxmlformats.org/officeDocument/2006/relationships/hyperlink" Target="https://login.consultant.ru/link/?req=doc&amp;base=LAW&amp;n=495181&amp;date=10.08.2026" TargetMode = "External"/><Relationship Id="rId10" Type="http://schemas.openxmlformats.org/officeDocument/2006/relationships/hyperlink" Target="https://login.consultant.ru/link/?req=doc&amp;base=LAW&amp;n=357532&amp;date=10.08.2026&amp;dst=100980&amp;field=134" TargetMode = "External"/><Relationship Id="rId11" Type="http://schemas.openxmlformats.org/officeDocument/2006/relationships/hyperlink" Target="https://login.consultant.ru/link/?req=doc&amp;base=LAW&amp;n=495181&amp;date=10.08.2026&amp;dst=2308&amp;field=134" TargetMode = "External"/><Relationship Id="rId12" Type="http://schemas.openxmlformats.org/officeDocument/2006/relationships/hyperlink" Target="https://login.consultant.ru/link/?req=doc&amp;base=LAW&amp;n=495181&amp;date=10.08.2026" TargetMode = "External"/><Relationship Id="rId13" Type="http://schemas.openxmlformats.org/officeDocument/2006/relationships/hyperlink" Target="https://login.consultant.ru/link/?req=doc&amp;base=LAW&amp;n=495181&amp;date=10.08.2026&amp;dst=2240&amp;field=134" TargetMode = "External"/><Relationship Id="rId14" Type="http://schemas.openxmlformats.org/officeDocument/2006/relationships/hyperlink" Target="https://login.consultant.ru/link/?req=doc&amp;base=LAW&amp;n=495181&amp;date=10.08.2026&amp;dst=2240&amp;field=134" TargetMode = "External"/><Relationship Id="rId15" Type="http://schemas.openxmlformats.org/officeDocument/2006/relationships/hyperlink" Target="https://login.consultant.ru/link/?req=doc&amp;base=LAW&amp;n=494454&amp;date=10.08.2026" TargetMode = "External"/><Relationship Id="rId16" Type="http://schemas.openxmlformats.org/officeDocument/2006/relationships/hyperlink" Target="https://login.consultant.ru/link/?req=doc&amp;base=LAW&amp;n=495181&amp;date=10.08.2026" TargetMode = "External"/><Relationship Id="rId17" Type="http://schemas.openxmlformats.org/officeDocument/2006/relationships/hyperlink" Target="https://login.consultant.ru/link/?req=doc&amp;base=LAW&amp;n=357532&amp;date=10.08.2026&amp;dst=100980&amp;field=134" TargetMode = "External"/><Relationship Id="rId18" Type="http://schemas.openxmlformats.org/officeDocument/2006/relationships/hyperlink" Target="https://login.consultant.ru/link/?req=doc&amp;base=LAW&amp;n=357532&amp;date=10.08.2026&amp;dst=101479&amp;field=134" TargetMode = "External"/><Relationship Id="rId19" Type="http://schemas.openxmlformats.org/officeDocument/2006/relationships/hyperlink" Target="https://login.consultant.ru/link/?req=doc&amp;base=LAW&amp;n=357532&amp;date=10.08.2026&amp;dst=100980&amp;field=134" TargetMode = "External"/><Relationship Id="rId20" Type="http://schemas.openxmlformats.org/officeDocument/2006/relationships/hyperlink" Target="https://login.consultant.ru/link/?req=doc&amp;base=LAW&amp;n=527025&amp;date=10.08.2026&amp;dst=119213&amp;field=134" TargetMode = "External"/><Relationship Id="rId21" Type="http://schemas.openxmlformats.org/officeDocument/2006/relationships/hyperlink" Target="https://login.consultant.ru/link/?req=doc&amp;base=LAW&amp;n=527025&amp;date=10.08.2026&amp;dst=119301&amp;field=134" TargetMode = "External"/><Relationship Id="rId22" Type="http://schemas.openxmlformats.org/officeDocument/2006/relationships/hyperlink" Target="https://login.consultant.ru/link/?req=doc&amp;base=LAW&amp;n=527025&amp;date=10.08.2026&amp;dst=141327&amp;field=134" TargetMode = "External"/><Relationship Id="rId23" Type="http://schemas.openxmlformats.org/officeDocument/2006/relationships/hyperlink" Target="https://login.consultant.ru/link/?req=doc&amp;base=LAW&amp;n=357532&amp;date=10.08.2026&amp;dst=100980&amp;field=134" TargetMode = "External"/><Relationship Id="rId24" Type="http://schemas.openxmlformats.org/officeDocument/2006/relationships/hyperlink" Target="https://login.consultant.ru/link/?req=doc&amp;base=LAW&amp;n=357532&amp;date=10.08.2026&amp;dst=101053&amp;field=134" TargetMode = "External"/><Relationship Id="rId25" Type="http://schemas.openxmlformats.org/officeDocument/2006/relationships/hyperlink" Target="https://login.consultant.ru/link/?req=doc&amp;base=LAW&amp;n=495181&amp;date=10.08.2026&amp;dst=2240&amp;field=134" TargetMode = "External"/><Relationship Id="rId26" Type="http://schemas.openxmlformats.org/officeDocument/2006/relationships/hyperlink" Target="https://login.consultant.ru/link/?req=doc&amp;base=LAW&amp;n=497793&amp;date=10.08.2026&amp;dst=7275&amp;field=134" TargetMode = "External"/><Relationship Id="rId27" Type="http://schemas.openxmlformats.org/officeDocument/2006/relationships/hyperlink" Target="https://login.consultant.ru/link/?req=doc&amp;base=PAS&amp;n=1005634&amp;date=10.08.2026" TargetMode = "External"/><Relationship Id="rId28" Type="http://schemas.openxmlformats.org/officeDocument/2006/relationships/hyperlink" Target="https://login.consultant.ru/link/?req=doc&amp;base=PAS&amp;n=1005634&amp;date=10.08.2026" TargetMode = "External"/><Relationship Id="rId29" Type="http://schemas.openxmlformats.org/officeDocument/2006/relationships/hyperlink" Target="https://login.consultant.ru/link/?req=doc&amp;base=LAW&amp;n=357532&amp;date=10.08.2026&amp;dst=101053&amp;field=134" TargetMode = "External"/><Relationship Id="rId30" Type="http://schemas.openxmlformats.org/officeDocument/2006/relationships/hyperlink" Target="https://login.consultant.ru/link/?req=doc&amp;base=LAW&amp;n=495181&amp;date=10.08.2026&amp;dst=12451&amp;field=134" TargetMode = "External"/><Relationship Id="rId31" Type="http://schemas.openxmlformats.org/officeDocument/2006/relationships/hyperlink" Target="https://login.consultant.ru/link/?req=doc&amp;base=LAW&amp;n=495181&amp;date=10.08.2026&amp;dst=101310&amp;field=134" TargetMode = "External"/><Relationship Id="rId32" Type="http://schemas.openxmlformats.org/officeDocument/2006/relationships/hyperlink" Target="https://login.consultant.ru/link/?req=doc&amp;base=LAW&amp;n=495181&amp;date=10.08.2026&amp;dst=101309&amp;field=134" TargetMode = "External"/><Relationship Id="rId33" Type="http://schemas.openxmlformats.org/officeDocument/2006/relationships/hyperlink" Target="https://login.consultant.ru/link/?req=doc&amp;base=LAW&amp;n=357532&amp;date=10.08.2026&amp;dst=101053&amp;field=134" TargetMode = "External"/><Relationship Id="rId34" Type="http://schemas.openxmlformats.org/officeDocument/2006/relationships/hyperlink" Target="https://login.consultant.ru/link/?req=doc&amp;base=LAW&amp;n=357532&amp;date=10.08.2026&amp;dst=101479&amp;field=134" TargetMode = "External"/><Relationship Id="rId35" Type="http://schemas.openxmlformats.org/officeDocument/2006/relationships/hyperlink" Target="https://login.consultant.ru/link/?req=doc&amp;base=LAW&amp;n=357532&amp;date=10.08.2026&amp;dst=100980&amp;field=134" TargetMode = "External"/><Relationship Id="rId36" Type="http://schemas.openxmlformats.org/officeDocument/2006/relationships/hyperlink" Target="https://login.consultant.ru/link/?req=doc&amp;base=LAW&amp;n=527025&amp;date=10.08.2026&amp;dst=119213&amp;field=134" TargetMode = "External"/><Relationship Id="rId37" Type="http://schemas.openxmlformats.org/officeDocument/2006/relationships/hyperlink" Target="https://login.consultant.ru/link/?req=doc&amp;base=LAW&amp;n=527025&amp;date=10.08.2026&amp;dst=119301&amp;field=134" TargetMode = "External"/><Relationship Id="rId38" Type="http://schemas.openxmlformats.org/officeDocument/2006/relationships/hyperlink" Target="https://login.consultant.ru/link/?req=doc&amp;base=LAW&amp;n=527025&amp;date=10.08.2026&amp;dst=141327&amp;field=134" TargetMode = "External"/><Relationship Id="rId39" Type="http://schemas.openxmlformats.org/officeDocument/2006/relationships/hyperlink" Target="https://login.consultant.ru/link/?req=doc&amp;base=LAW&amp;n=527025&amp;date=10.08.2026" TargetMode = "External"/><Relationship Id="rId40" Type="http://schemas.openxmlformats.org/officeDocument/2006/relationships/hyperlink" Target="https://login.consultant.ru/link/?req=doc&amp;base=LAW&amp;n=518477&amp;date=10.08.2026" TargetMode = "External"/><Relationship Id="rId41" Type="http://schemas.openxmlformats.org/officeDocument/2006/relationships/hyperlink" Target="https://login.consultant.ru/link/?req=doc&amp;base=LAW&amp;n=527025&amp;date=10.08.2026" TargetMode = "External"/><Relationship Id="rId42" Type="http://schemas.openxmlformats.org/officeDocument/2006/relationships/hyperlink" Target="https://login.consultant.ru/link/?req=doc&amp;base=LAW&amp;n=518477&amp;date=10.08.2026" TargetMode = "External"/><Relationship Id="rId43" Type="http://schemas.openxmlformats.org/officeDocument/2006/relationships/hyperlink" Target="https://login.consultant.ru/link/?req=doc&amp;base=LAW&amp;n=342143&amp;date=10.08.2026&amp;dst=100010&amp;field=134" TargetMode = "External"/><Relationship Id="rId44" Type="http://schemas.openxmlformats.org/officeDocument/2006/relationships/hyperlink" Target="https://login.consultant.ru/link/?req=doc&amp;base=LAW&amp;n=357532&amp;date=10.08.2026&amp;dst=100980&amp;field=134" TargetMode = "External"/><Relationship Id="rId45" Type="http://schemas.openxmlformats.org/officeDocument/2006/relationships/hyperlink" Target="https://login.consultant.ru/link/?req=doc&amp;base=LAW&amp;n=495181&amp;date=10.08.2026&amp;dst=2240&amp;field=134" TargetMode = "External"/><Relationship Id="rId46" Type="http://schemas.openxmlformats.org/officeDocument/2006/relationships/hyperlink" Target="https://login.consultant.ru/link/?req=doc&amp;base=LAW&amp;n=523865&amp;date=10.08.2026" TargetMode = "External"/><Relationship Id="rId47" Type="http://schemas.openxmlformats.org/officeDocument/2006/relationships/hyperlink" Target="https://login.consultant.ru/link/?req=doc&amp;base=AMS&amp;n=577161&amp;date=10.08.2026" TargetMode = "External"/><Relationship Id="rId48" Type="http://schemas.openxmlformats.org/officeDocument/2006/relationships/hyperlink" Target="https://login.consultant.ru/link/?req=doc&amp;base=LAW&amp;n=495181&amp;date=10.08.2026&amp;dst=2918&amp;field=134" TargetMode = "External"/><Relationship Id="rId49" Type="http://schemas.openxmlformats.org/officeDocument/2006/relationships/hyperlink" Target="https://login.consultant.ru/link/?req=doc&amp;base=LAW&amp;n=495181&amp;date=10.08.2026&amp;dst=2111&amp;field=134" TargetMode = "External"/><Relationship Id="rId50" Type="http://schemas.openxmlformats.org/officeDocument/2006/relationships/hyperlink" Target="https://login.consultant.ru/link/?req=doc&amp;base=LAW&amp;n=495181&amp;date=10.08.2026&amp;dst=2918&amp;field=134" TargetMode = "External"/><Relationship Id="rId51" Type="http://schemas.openxmlformats.org/officeDocument/2006/relationships/hyperlink" Target="https://login.consultant.ru/link/?req=doc&amp;base=LAW&amp;n=495181&amp;date=10.08.2026&amp;dst=12449&amp;field=134" TargetMode = "External"/><Relationship Id="rId52" Type="http://schemas.openxmlformats.org/officeDocument/2006/relationships/hyperlink" Target="https://login.consultant.ru/link/?req=doc&amp;base=LAW&amp;n=495181&amp;date=10.08.2026&amp;dst=12297&amp;field=134" TargetMode = "External"/><Relationship Id="rId53" Type="http://schemas.openxmlformats.org/officeDocument/2006/relationships/hyperlink" Target="https://login.consultant.ru/link/?req=doc&amp;base=LAW&amp;n=495181&amp;date=10.08.2026&amp;dst=2918&amp;field=134" TargetMode = "External"/><Relationship Id="rId54" Type="http://schemas.openxmlformats.org/officeDocument/2006/relationships/hyperlink" Target="https://login.consultant.ru/link/?req=doc&amp;base=LAW&amp;n=495181&amp;date=10.08.2026&amp;dst=269&amp;field=134" TargetMode = "External"/><Relationship Id="rId55" Type="http://schemas.openxmlformats.org/officeDocument/2006/relationships/hyperlink" Target="https://login.consultant.ru/link/?req=doc&amp;base=LAW&amp;n=495181&amp;date=10.08.2026&amp;dst=304&amp;field=134" TargetMode = "External"/><Relationship Id="rId56" Type="http://schemas.openxmlformats.org/officeDocument/2006/relationships/hyperlink" Target="https://login.consultant.ru/link/?req=doc&amp;base=LAW&amp;n=495181&amp;date=10.08.2026&amp;dst=12449&amp;field=134" TargetMode = "External"/><Relationship Id="rId57" Type="http://schemas.openxmlformats.org/officeDocument/2006/relationships/hyperlink" Target="https://login.consultant.ru/link/?req=doc&amp;base=RLAW187&amp;n=294935&amp;date=10.08.2026" TargetMode = "External"/><Relationship Id="rId58" Type="http://schemas.openxmlformats.org/officeDocument/2006/relationships/hyperlink" Target="https://login.consultant.ru/link/?req=doc&amp;base=RLAW187&amp;n=294935&amp;date=10.08.2026" TargetMode = "External"/><Relationship Id="rId59" Type="http://schemas.openxmlformats.org/officeDocument/2006/relationships/hyperlink" Target="https://login.consultant.ru/link/?req=doc&amp;base=RLAW187&amp;n=294755&amp;date=10.08.2026&amp;dst=100008&amp;field=134" TargetMode = "External"/><Relationship Id="rId60" Type="http://schemas.openxmlformats.org/officeDocument/2006/relationships/hyperlink" Target="https://login.consultant.ru/link/?req=doc&amp;base=RLAW187&amp;n=294755&amp;date=10.08.2026" TargetMode = "External"/><Relationship Id="rId61" Type="http://schemas.openxmlformats.org/officeDocument/2006/relationships/hyperlink" Target="https://login.consultant.ru/link/?req=doc&amp;base=RLAW187&amp;n=294755&amp;date=10.08.2026" TargetMode = "External"/><Relationship Id="rId62" Type="http://schemas.openxmlformats.org/officeDocument/2006/relationships/hyperlink" Target="https://login.consultant.ru/link/?req=doc&amp;base=LAW&amp;n=495181&amp;date=10.08.2026&amp;dst=2918&amp;field=134" TargetMode = "External"/><Relationship Id="rId63" Type="http://schemas.openxmlformats.org/officeDocument/2006/relationships/hyperlink" Target="https://login.consultant.ru/link/?req=doc&amp;base=LAW&amp;n=495181&amp;date=10.08.2026&amp;dst=2918&amp;field=134" TargetMode = "External"/><Relationship Id="rId64" Type="http://schemas.openxmlformats.org/officeDocument/2006/relationships/hyperlink" Target="https://login.consultant.ru/link/?req=doc&amp;base=LAW&amp;n=495181&amp;date=10.08.2026&amp;dst=2918&amp;field=134" TargetMode = "External"/><Relationship Id="rId65" Type="http://schemas.openxmlformats.org/officeDocument/2006/relationships/hyperlink" Target="https://login.consultant.ru/link/?req=doc&amp;base=LAW&amp;n=495181&amp;date=10.08.2026&amp;dst=2918&amp;field=134" TargetMode = "External"/><Relationship Id="rId66" Type="http://schemas.openxmlformats.org/officeDocument/2006/relationships/hyperlink" Target="https://login.consultant.ru/link/?req=doc&amp;base=LAW&amp;n=495181&amp;date=10.08.2026&amp;dst=2918&amp;field=134" TargetMode = "External"/><Relationship Id="rId67" Type="http://schemas.openxmlformats.org/officeDocument/2006/relationships/hyperlink" Target="https://login.consultant.ru/link/?req=doc&amp;base=LAW&amp;n=495181&amp;date=10.08.2026&amp;dst=2918&amp;field=134" TargetMode = "External"/><Relationship Id="rId68" Type="http://schemas.openxmlformats.org/officeDocument/2006/relationships/hyperlink" Target="https://login.consultant.ru/link/?req=doc&amp;base=PAS&amp;n=1013235&amp;date=10.08.2026" TargetMode = "External"/><Relationship Id="rId69" Type="http://schemas.openxmlformats.org/officeDocument/2006/relationships/hyperlink" Target="https://login.consultant.ru/link/?req=doc&amp;base=PAS&amp;n=1013235&amp;date=10.08.2026" TargetMode = "External"/><Relationship Id="rId70" Type="http://schemas.openxmlformats.org/officeDocument/2006/relationships/hyperlink" Target="https://login.consultant.ru/link/?req=doc&amp;base=PAS&amp;n=1013235&amp;date=10.08.2026" TargetMode = "External"/><Relationship Id="rId71" Type="http://schemas.openxmlformats.org/officeDocument/2006/relationships/hyperlink" Target="https://login.consultant.ru/link/?req=doc&amp;base=MARB&amp;n=3000790&amp;date=10.08.2026" TargetMode = "External"/><Relationship Id="rId72" Type="http://schemas.openxmlformats.org/officeDocument/2006/relationships/hyperlink" Target="https://login.consultant.ru/link/?req=doc&amp;base=MARB&amp;n=3009448&amp;date=10.08.2026" TargetMode = "External"/><Relationship Id="rId73" Type="http://schemas.openxmlformats.org/officeDocument/2006/relationships/hyperlink" Target="https://login.consultant.ru/link/?req=doc&amp;base=PAS&amp;n=1013235&amp;date=10.08.2026" TargetMode = "External"/><Relationship Id="rId74" Type="http://schemas.openxmlformats.org/officeDocument/2006/relationships/hyperlink" Target="https://login.consultant.ru/link/?req=doc&amp;base=LAW&amp;n=495181&amp;date=10.08.2026&amp;dst=2918&amp;field=134" TargetMode = "External"/><Relationship Id="rId75" Type="http://schemas.openxmlformats.org/officeDocument/2006/relationships/hyperlink" Target="https://login.consultant.ru/link/?req=doc&amp;base=LAW&amp;n=495181&amp;date=10.08.2026" TargetMode = "External"/><Relationship Id="rId76" Type="http://schemas.openxmlformats.org/officeDocument/2006/relationships/hyperlink" Target="https://login.consultant.ru/link/?req=doc&amp;base=AMS&amp;n=578126&amp;date=10.08.2026" TargetMode = "External"/><Relationship Id="rId77" Type="http://schemas.openxmlformats.org/officeDocument/2006/relationships/hyperlink" Target="https://login.consultant.ru/link/?req=doc&amp;base=LAW&amp;n=495181&amp;date=10.08.2026&amp;dst=12032&amp;field=134" TargetMode = "External"/><Relationship Id="rId78" Type="http://schemas.openxmlformats.org/officeDocument/2006/relationships/hyperlink" Target="https://login.consultant.ru/link/?req=doc&amp;base=LAW&amp;n=495181&amp;date=10.08.2026&amp;dst=2304&amp;field=134" TargetMode = "External"/><Relationship Id="rId79" Type="http://schemas.openxmlformats.org/officeDocument/2006/relationships/hyperlink" Target="https://login.consultant.ru/link/?req=doc&amp;base=LAW&amp;n=495181&amp;date=10.08.2026" TargetMode = "External"/><Relationship Id="rId80" Type="http://schemas.openxmlformats.org/officeDocument/2006/relationships/hyperlink" Target="https://login.consultant.ru/link/?req=doc&amp;base=LAW&amp;n=495181&amp;date=10.08.2026&amp;dst=100386&amp;field=134" TargetMode = "External"/><Relationship Id="rId81" Type="http://schemas.openxmlformats.org/officeDocument/2006/relationships/hyperlink" Target="https://login.consultant.ru/link/?req=doc&amp;base=LAW&amp;n=495181&amp;date=10.08.2026&amp;dst=12213&amp;field=134" TargetMode = "External"/><Relationship Id="rId82" Type="http://schemas.openxmlformats.org/officeDocument/2006/relationships/hyperlink" Target="https://login.consultant.ru/link/?req=doc&amp;base=LAW&amp;n=495181&amp;date=10.08.2026&amp;dst=12459&amp;field=134" TargetMode = "External"/><Relationship Id="rId83" Type="http://schemas.openxmlformats.org/officeDocument/2006/relationships/hyperlink" Target="https://login.consultant.ru/link/?req=doc&amp;base=LAW&amp;n=495181&amp;date=10.08.2026" TargetMode = "External"/><Relationship Id="rId84" Type="http://schemas.openxmlformats.org/officeDocument/2006/relationships/hyperlink" Target="https://login.consultant.ru/link/?req=doc&amp;base=LAW&amp;n=495181&amp;date=10.08.2026&amp;dst=100336&amp;field=134" TargetMode = "External"/><Relationship Id="rId85" Type="http://schemas.openxmlformats.org/officeDocument/2006/relationships/hyperlink" Target="https://login.consultant.ru/link/?req=doc&amp;base=LAW&amp;n=495181&amp;date=10.08.2026&amp;dst=12091&amp;field=134" TargetMode = "External"/><Relationship Id="rId86" Type="http://schemas.openxmlformats.org/officeDocument/2006/relationships/hyperlink" Target="https://login.consultant.ru/link/?req=doc&amp;base=LAW&amp;n=495181&amp;date=10.08.2026&amp;dst=12092&amp;field=134" TargetMode = "External"/><Relationship Id="rId87" Type="http://schemas.openxmlformats.org/officeDocument/2006/relationships/hyperlink" Target="https://login.consultant.ru/link/?req=doc&amp;base=LAW&amp;n=495181&amp;date=10.08.2026" TargetMode = "External"/><Relationship Id="rId88" Type="http://schemas.openxmlformats.org/officeDocument/2006/relationships/hyperlink" Target="https://login.consultant.ru/link/?req=doc&amp;base=LAW&amp;n=495181&amp;date=10.08.2026&amp;dst=12462&amp;field=134" TargetMode = "External"/><Relationship Id="rId89" Type="http://schemas.openxmlformats.org/officeDocument/2006/relationships/hyperlink" Target="https://login.consultant.ru/link/?req=doc&amp;base=LAW&amp;n=495181&amp;date=10.08.2026&amp;dst=12091&amp;field=134" TargetMode = "External"/><Relationship Id="rId90" Type="http://schemas.openxmlformats.org/officeDocument/2006/relationships/hyperlink" Target="https://login.consultant.ru/link/?req=doc&amp;base=LAW&amp;n=495181&amp;date=10.08.2026&amp;dst=12092&amp;field=134" TargetMode = "External"/><Relationship Id="rId91" Type="http://schemas.openxmlformats.org/officeDocument/2006/relationships/hyperlink" Target="https://login.consultant.ru/link/?req=doc&amp;base=LAW&amp;n=495181&amp;date=10.08.2026&amp;dst=12459&amp;field=134" TargetMode = "External"/><Relationship Id="rId92" Type="http://schemas.openxmlformats.org/officeDocument/2006/relationships/hyperlink" Target="https://login.consultant.ru/link/?req=doc&amp;base=LAW&amp;n=495181&amp;date=10.08.2026" TargetMode = "External"/><Relationship Id="rId93" Type="http://schemas.openxmlformats.org/officeDocument/2006/relationships/hyperlink" Target="https://login.consultant.ru/link/?req=doc&amp;base=LAW&amp;n=495181&amp;date=10.08.2026&amp;dst=12091&amp;field=134" TargetMode = "External"/><Relationship Id="rId94" Type="http://schemas.openxmlformats.org/officeDocument/2006/relationships/hyperlink" Target="https://login.consultant.ru/link/?req=doc&amp;base=LAW&amp;n=495181&amp;date=10.08.2026&amp;dst=2304&amp;field=134" TargetMode = "External"/><Relationship Id="rId95" Type="http://schemas.openxmlformats.org/officeDocument/2006/relationships/hyperlink" Target="https://login.consultant.ru/link/?req=doc&amp;base=LAW&amp;n=497793&amp;date=10.08.2026&amp;dst=4991&amp;field=134" TargetMode = "External"/><Relationship Id="rId96" Type="http://schemas.openxmlformats.org/officeDocument/2006/relationships/hyperlink" Target="https://login.consultant.ru/link/?req=doc&amp;base=PAS&amp;n=980412&amp;date=10.08.2026" TargetMode = "External"/><Relationship Id="rId97" Type="http://schemas.openxmlformats.org/officeDocument/2006/relationships/hyperlink" Target="https://login.consultant.ru/link/?req=doc&amp;base=PAS&amp;n=980412&amp;date=10.08.2026" TargetMode = "External"/><Relationship Id="rId98" Type="http://schemas.openxmlformats.org/officeDocument/2006/relationships/hyperlink" Target="https://login.consultant.ru/link/?req=doc&amp;base=LAW&amp;n=486432&amp;date=10.08.2026" TargetMode = "External"/><Relationship Id="rId99" Type="http://schemas.openxmlformats.org/officeDocument/2006/relationships/hyperlink" Target="https://login.consultant.ru/link/?req=doc&amp;base=MARB&amp;n=3140304&amp;date=10.08.2026" TargetMode = "External"/><Relationship Id="rId100" Type="http://schemas.openxmlformats.org/officeDocument/2006/relationships/hyperlink" Target="https://login.consultant.ru/link/?req=doc&amp;base=LAW&amp;n=486432&amp;date=10.08.2026&amp;dst=95&amp;field=134" TargetMode = "External"/><Relationship Id="rId101" Type="http://schemas.openxmlformats.org/officeDocument/2006/relationships/hyperlink" Target="https://login.consultant.ru/link/?req=doc&amp;base=LAW&amp;n=495181&amp;date=10.08.2026" TargetMode = "External"/><Relationship Id="rId102" Type="http://schemas.openxmlformats.org/officeDocument/2006/relationships/hyperlink" Target="https://login.consultant.ru/link/?req=doc&amp;base=LAW&amp;n=495181&amp;date=10.08.2026&amp;dst=12458&amp;field=134" TargetMode = "External"/><Relationship Id="rId103" Type="http://schemas.openxmlformats.org/officeDocument/2006/relationships/hyperlink" Target="https://login.consultant.ru/link/?req=doc&amp;base=LAW&amp;n=495181&amp;date=10.08.2026&amp;dst=2213&amp;field=134" TargetMode = "External"/><Relationship Id="rId104" Type="http://schemas.openxmlformats.org/officeDocument/2006/relationships/hyperlink" Target="https://login.consultant.ru/link/?req=doc&amp;base=LAW&amp;n=495181&amp;date=10.08.2026&amp;dst=12091&amp;field=134" TargetMode = "External"/><Relationship Id="rId105" Type="http://schemas.openxmlformats.org/officeDocument/2006/relationships/hyperlink" Target="https://login.consultant.ru/link/?req=doc&amp;base=LAW&amp;n=495181&amp;date=10.08.2026&amp;dst=12092&amp;field=134" TargetMode = "External"/><Relationship Id="rId106" Type="http://schemas.openxmlformats.org/officeDocument/2006/relationships/hyperlink" Target="https://login.consultant.ru/link/?req=doc&amp;base=LAW&amp;n=495181&amp;date=10.08.2026&amp;dst=12019&amp;field=134" TargetMode = "External"/><Relationship Id="rId107" Type="http://schemas.openxmlformats.org/officeDocument/2006/relationships/hyperlink" Target="https://login.consultant.ru/link/?req=doc&amp;base=LAW&amp;n=495181&amp;date=10.08.2026&amp;dst=12091&amp;field=134" TargetMode = "External"/><Relationship Id="rId108" Type="http://schemas.openxmlformats.org/officeDocument/2006/relationships/hyperlink" Target="https://login.consultant.ru/link/?req=doc&amp;base=LAW&amp;n=486432&amp;date=10.08.2026&amp;dst=18&amp;field=134" TargetMode = "External"/><Relationship Id="rId109" Type="http://schemas.openxmlformats.org/officeDocument/2006/relationships/hyperlink" Target="https://login.consultant.ru/link/?req=doc&amp;base=LAW&amp;n=486432&amp;date=10.08.2026&amp;dst=95&amp;field=134" TargetMode = "External"/><Relationship Id="rId110" Type="http://schemas.openxmlformats.org/officeDocument/2006/relationships/hyperlink" Target="https://login.consultant.ru/link/?req=doc&amp;base=LAW&amp;n=486432&amp;date=10.08.2026&amp;dst=95&amp;field=134" TargetMode = "External"/><Relationship Id="rId111" Type="http://schemas.openxmlformats.org/officeDocument/2006/relationships/hyperlink" Target="https://login.consultant.ru/link/?req=doc&amp;base=LAW&amp;n=495181&amp;date=10.08.2026&amp;dst=2522&amp;field=134" TargetMode = "External"/><Relationship Id="rId112" Type="http://schemas.openxmlformats.org/officeDocument/2006/relationships/hyperlink" Target="https://login.consultant.ru/link/?req=doc&amp;base=LAW&amp;n=495181&amp;date=10.08.2026&amp;dst=2213&amp;field=134" TargetMode = "External"/><Relationship Id="rId113" Type="http://schemas.openxmlformats.org/officeDocument/2006/relationships/hyperlink" Target="https://login.consultant.ru/link/?req=doc&amp;base=LAW&amp;n=495181&amp;date=10.08.2026&amp;dst=12019&amp;field=134" TargetMode = "External"/><Relationship Id="rId114" Type="http://schemas.openxmlformats.org/officeDocument/2006/relationships/hyperlink" Target="https://login.consultant.ru/link/?req=doc&amp;base=LAW&amp;n=495181&amp;date=10.08.2026&amp;dst=12091&amp;field=134" TargetMode = "External"/><Relationship Id="rId115" Type="http://schemas.openxmlformats.org/officeDocument/2006/relationships/hyperlink" Target="https://login.consultant.ru/link/?req=doc&amp;base=LAW&amp;n=495181&amp;date=10.08.2026&amp;dst=12092&amp;field=134" TargetMode = "External"/><Relationship Id="rId116" Type="http://schemas.openxmlformats.org/officeDocument/2006/relationships/hyperlink" Target="https://login.consultant.ru/link/?req=doc&amp;base=LAW&amp;n=486432&amp;date=10.08.2026&amp;dst=95&amp;field=134" TargetMode = "External"/><Relationship Id="rId117" Type="http://schemas.openxmlformats.org/officeDocument/2006/relationships/hyperlink" Target="https://login.consultant.ru/link/?req=doc&amp;base=LAW&amp;n=486432&amp;date=10.08.2026&amp;dst=95&amp;field=134" TargetMode = "External"/><Relationship Id="rId118" Type="http://schemas.openxmlformats.org/officeDocument/2006/relationships/hyperlink" Target="https://login.consultant.ru/link/?req=doc&amp;base=LAW&amp;n=508509&amp;date=10.08.2026&amp;dst=3459&amp;field=134" TargetMode = "External"/><Relationship Id="rId119" Type="http://schemas.openxmlformats.org/officeDocument/2006/relationships/hyperlink" Target="https://login.consultant.ru/link/?req=doc&amp;base=LAW&amp;n=508509&amp;date=10.08.2026&amp;dst=38&amp;field=134" TargetMode = "External"/><Relationship Id="rId120" Type="http://schemas.openxmlformats.org/officeDocument/2006/relationships/hyperlink" Target="https://login.consultant.ru/link/?req=doc&amp;base=LAW&amp;n=508509&amp;date=10.08.2026&amp;dst=44&amp;field=134" TargetMode = "External"/><Relationship Id="rId121" Type="http://schemas.openxmlformats.org/officeDocument/2006/relationships/hyperlink" Target="https://login.consultant.ru/link/?req=doc&amp;base=LAW&amp;n=508509&amp;date=10.08.2026&amp;dst=38&amp;field=134" TargetMode = "External"/><Relationship Id="rId122" Type="http://schemas.openxmlformats.org/officeDocument/2006/relationships/hyperlink" Target="https://login.consultant.ru/link/?req=doc&amp;base=LAW&amp;n=495181&amp;date=10.08.2026&amp;dst=12462&amp;field=134" TargetMode = "External"/><Relationship Id="rId123" Type="http://schemas.openxmlformats.org/officeDocument/2006/relationships/hyperlink" Target="https://login.consultant.ru/link/?req=doc&amp;base=LAW&amp;n=486432&amp;date=10.08.2026&amp;dst=95&amp;field=134" TargetMode = "External"/><Relationship Id="rId124" Type="http://schemas.openxmlformats.org/officeDocument/2006/relationships/hyperlink" Target="https://login.consultant.ru/link/?req=doc&amp;base=LAW&amp;n=486432&amp;date=10.08.2026&amp;dst=95&amp;field=134" TargetMode = "External"/><Relationship Id="rId125" Type="http://schemas.openxmlformats.org/officeDocument/2006/relationships/hyperlink" Target="https://login.consultant.ru/link/?req=doc&amp;base=LAW&amp;n=495181&amp;date=10.08.2026&amp;dst=2515&amp;field=134" TargetMode = "External"/><Relationship Id="rId126" Type="http://schemas.openxmlformats.org/officeDocument/2006/relationships/hyperlink" Target="https://login.consultant.ru/link/?req=doc&amp;base=LAW&amp;n=523865&amp;date=10.08.2026&amp;dst=11263&amp;field=134" TargetMode = "External"/><Relationship Id="rId127" Type="http://schemas.openxmlformats.org/officeDocument/2006/relationships/hyperlink" Target="https://login.consultant.ru/link/?req=doc&amp;base=PAS&amp;n=1123919&amp;date=10.08.2026" TargetMode = "External"/><Relationship Id="rId128" Type="http://schemas.openxmlformats.org/officeDocument/2006/relationships/hyperlink" Target="https://login.consultant.ru/link/?req=doc&amp;base=PAS&amp;n=1123920&amp;date=10.08.2026" TargetMode = "External"/><Relationship Id="rId129" Type="http://schemas.openxmlformats.org/officeDocument/2006/relationships/hyperlink" Target="https://login.consultant.ru/link/?req=doc&amp;base=LAW&amp;n=486432&amp;date=10.08.2026&amp;dst=95&amp;field=134" TargetMode = "External"/><Relationship Id="rId130" Type="http://schemas.openxmlformats.org/officeDocument/2006/relationships/hyperlink" Target="https://login.consultant.ru/link/?req=doc&amp;base=LAW&amp;n=495181&amp;date=10.08.2026&amp;dst=2515&amp;field=134" TargetMode = "External"/><Relationship Id="rId131" Type="http://schemas.openxmlformats.org/officeDocument/2006/relationships/hyperlink" Target="https://login.consultant.ru/link/?req=doc&amp;base=LAW&amp;n=523865&amp;date=10.08.2026&amp;dst=11263&amp;field=134" TargetMode = "External"/><Relationship Id="rId132" Type="http://schemas.openxmlformats.org/officeDocument/2006/relationships/hyperlink" Target="https://login.consultant.ru/link/?req=doc&amp;base=MARB&amp;n=3140325&amp;date=10.08.2026" TargetMode = "External"/><Relationship Id="rId133" Type="http://schemas.openxmlformats.org/officeDocument/2006/relationships/hyperlink" Target="https://login.consultant.ru/link/?req=doc&amp;base=LAW&amp;n=486433&amp;date=10.08.2026&amp;dst=100012&amp;field=134" TargetMode = "External"/><Relationship Id="rId134" Type="http://schemas.openxmlformats.org/officeDocument/2006/relationships/hyperlink" Target="https://login.consultant.ru/link/?req=doc&amp;base=LAW&amp;n=486433&amp;date=10.08.2026&amp;dst=100119&amp;field=134" TargetMode = "External"/><Relationship Id="rId135" Type="http://schemas.openxmlformats.org/officeDocument/2006/relationships/hyperlink" Target="https://login.consultant.ru/link/?req=doc&amp;base=LAW&amp;n=486433&amp;date=10.08.2026&amp;dst=100143&amp;field=134" TargetMode = "External"/><Relationship Id="rId136" Type="http://schemas.openxmlformats.org/officeDocument/2006/relationships/hyperlink" Target="https://login.consultant.ru/link/?req=doc&amp;base=LAW&amp;n=486433&amp;date=10.08.2026&amp;dst=100119&amp;field=134" TargetMode = "External"/><Relationship Id="rId137" Type="http://schemas.openxmlformats.org/officeDocument/2006/relationships/hyperlink" Target="https://login.consultant.ru/link/?req=doc&amp;base=LAW&amp;n=486433&amp;date=10.08.2026&amp;dst=100141&amp;field=134" TargetMode = "External"/><Relationship Id="rId138" Type="http://schemas.openxmlformats.org/officeDocument/2006/relationships/hyperlink" Target="https://login.consultant.ru/link/?req=doc&amp;base=LAW&amp;n=486433&amp;date=10.08.2026&amp;dst=34&amp;field=134" TargetMode = "External"/><Relationship Id="rId139" Type="http://schemas.openxmlformats.org/officeDocument/2006/relationships/hyperlink" Target="https://login.consultant.ru/link/?req=doc&amp;base=LAW&amp;n=486433&amp;date=10.08.2026&amp;dst=100191&amp;field=134" TargetMode = "External"/><Relationship Id="rId140" Type="http://schemas.openxmlformats.org/officeDocument/2006/relationships/hyperlink" Target="https://login.consultant.ru/link/?req=doc&amp;base=LAW&amp;n=486433&amp;date=10.08.2026&amp;dst=100119&amp;field=134" TargetMode = "External"/><Relationship Id="rId141" Type="http://schemas.openxmlformats.org/officeDocument/2006/relationships/hyperlink" Target="https://login.consultant.ru/link/?req=doc&amp;base=LAW&amp;n=495181&amp;date=10.08.2026&amp;dst=2515&amp;field=134" TargetMode = "External"/><Relationship Id="rId142" Type="http://schemas.openxmlformats.org/officeDocument/2006/relationships/hyperlink" Target="https://login.consultant.ru/link/?req=doc&amp;base=LAW&amp;n=486433&amp;date=10.08.2026&amp;dst=100160&amp;field=134" TargetMode = "External"/><Relationship Id="rId143" Type="http://schemas.openxmlformats.org/officeDocument/2006/relationships/hyperlink" Target="https://login.consultant.ru/link/?req=doc&amp;base=LAW&amp;n=486432&amp;date=10.08.2026" TargetMode = "External"/><Relationship Id="rId144" Type="http://schemas.openxmlformats.org/officeDocument/2006/relationships/hyperlink" Target="https://login.consultant.ru/link/?req=doc&amp;base=LAW&amp;n=486432&amp;date=10.08.2026" TargetMode = "External"/><Relationship Id="rId145" Type="http://schemas.openxmlformats.org/officeDocument/2006/relationships/hyperlink" Target="https://login.consultant.ru/link/?req=doc&amp;base=LAW&amp;n=486432&amp;date=10.08.2026" TargetMode = "External"/><Relationship Id="rId146" Type="http://schemas.openxmlformats.org/officeDocument/2006/relationships/hyperlink" Target="https://login.consultant.ru/link/?req=doc&amp;base=MARB&amp;n=3140280&amp;date=10.08.2026" TargetMode = "External"/><Relationship Id="rId147" Type="http://schemas.openxmlformats.org/officeDocument/2006/relationships/hyperlink" Target="https://login.consultant.ru/link/?req=doc&amp;base=MARB&amp;n=3054119&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 сфере закупок для государственных и муниципальных нужд (февраль 2026 года)"
(Управление контроля размещения государственного заказа ФАС России)
(Подготовлен для системы КонсультантПлюс, 2026)</dc:title>
  <dcterms:created xsi:type="dcterms:W3CDTF">2026-08-10T08:20:37Z</dcterms:created>
</cp:coreProperties>
</file>