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судебной практики в сфере закупок для государственных и муниципальных нужд (апрель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СУДЕБНОЙ ПРАКТИКИ В СФЕРЕ ЗАКУПОК</w:t>
      </w:r>
    </w:p>
    <w:p>
      <w:pPr>
        <w:pStyle w:val="2"/>
        <w:jc w:val="center"/>
      </w:pPr>
      <w:r>
        <w:rPr>
          <w:sz w:val="24"/>
        </w:rPr>
        <w:t xml:space="preserve">ДЛЯ ГОСУДАРСТВЕННЫХ И МУНИЦИПАЛЬНЫХ НУЖД</w:t>
      </w:r>
    </w:p>
    <w:p>
      <w:pPr>
        <w:pStyle w:val="2"/>
        <w:jc w:val="center"/>
      </w:pPr>
      <w:r>
        <w:rPr>
          <w:sz w:val="24"/>
        </w:rPr>
        <w:t xml:space="preserve">(АПРЕЛЬ 2026 ГОДА)</w:t>
      </w:r>
    </w:p>
    <w:p>
      <w:pPr>
        <w:pStyle w:val="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30 апреля 2026 года</w:t>
      </w:r>
    </w:p>
    <w:p>
      <w:pPr>
        <w:pStyle w:val="0"/>
        <w:jc w:val="both"/>
      </w:pPr>
      <w:r>
        <w:rPr>
          <w:sz w:val="24"/>
        </w:rPr>
      </w:r>
    </w:p>
    <w:p>
      <w:pPr>
        <w:pStyle w:val="2"/>
        <w:outlineLvl w:val="0"/>
        <w:ind w:firstLine="540"/>
        <w:jc w:val="both"/>
      </w:pPr>
      <w:r>
        <w:rPr>
          <w:sz w:val="24"/>
        </w:rPr>
        <w:t xml:space="preserve">1. Проверка указанных в заявке сведений является прямой обязанностью заказчика.</w:t>
      </w:r>
    </w:p>
    <w:p>
      <w:pPr>
        <w:pStyle w:val="0"/>
        <w:jc w:val="both"/>
      </w:pPr>
      <w:r>
        <w:rPr>
          <w:sz w:val="24"/>
        </w:rPr>
      </w:r>
    </w:p>
    <w:p>
      <w:pPr>
        <w:pStyle w:val="0"/>
        <w:ind w:firstLine="540"/>
        <w:jc w:val="both"/>
      </w:pPr>
      <w:r>
        <w:rPr>
          <w:sz w:val="24"/>
        </w:rPr>
        <w:t xml:space="preserve">В ФАС России поступило обращение Общества, содержащее информацию о наличии признаков нарушения законодательства Российской Федерации о контрактной системе в сфере закупок в действиях комиссии по осуществлению закупок при проведении заказчиком и оператором электронной площадки электронного аукциона на поставку медицинского изделия (светильник операционный потолочный), ввод в эксплуатацию медицинских изделий, обучение правилам эксплуатации специалистов, эксплуатирующих медицинские изделия (номер извещения в ЕИС - 0134200000125000791) (далее - Извещение, Аукцион).</w:t>
      </w:r>
    </w:p>
    <w:p>
      <w:pPr>
        <w:pStyle w:val="0"/>
        <w:spacing w:before="240" w:lineRule="auto"/>
        <w:ind w:firstLine="540"/>
        <w:jc w:val="both"/>
      </w:pPr>
      <w:r>
        <w:rPr>
          <w:sz w:val="24"/>
        </w:rPr>
        <w:t xml:space="preserve">Согласно доводу Общества комиссией по осуществлению закупок неправомерно признана соответствующей требованиям Извещения заявка ИП Анисимова П.В., впоследствии признанного победителем Аукциона.</w:t>
      </w:r>
    </w:p>
    <w:p>
      <w:pPr>
        <w:pStyle w:val="0"/>
        <w:spacing w:before="240" w:lineRule="auto"/>
        <w:ind w:firstLine="540"/>
        <w:jc w:val="both"/>
      </w:pPr>
      <w:r>
        <w:rPr>
          <w:sz w:val="24"/>
        </w:rPr>
        <w:t xml:space="preserve">В соответствии с Извещением объектом закупки является светильник операционный (код КТРУ - 32.50.50.190-00002967).</w:t>
      </w:r>
    </w:p>
    <w:p>
      <w:pPr>
        <w:pStyle w:val="0"/>
        <w:spacing w:before="240" w:lineRule="auto"/>
        <w:ind w:firstLine="540"/>
        <w:jc w:val="both"/>
      </w:pPr>
      <w:r>
        <w:rPr>
          <w:sz w:val="24"/>
        </w:rPr>
        <w:t xml:space="preserve">При этом Заказчиком в Извещении в том числе установлены следующие характеристики объекта закупки:</w:t>
      </w:r>
    </w:p>
    <w:p>
      <w:pPr>
        <w:pStyle w:val="0"/>
        <w:spacing w:before="240" w:lineRule="auto"/>
        <w:ind w:firstLine="540"/>
        <w:jc w:val="both"/>
      </w:pPr>
      <w:r>
        <w:rPr>
          <w:sz w:val="24"/>
        </w:rPr>
        <w:t xml:space="preserve">1) цветовая температура со значением характеристики "</w:t>
      </w: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4 500 К" (далее - Характеристика N 1);</w:t>
      </w:r>
    </w:p>
    <w:p>
      <w:pPr>
        <w:pStyle w:val="0"/>
        <w:spacing w:before="240" w:lineRule="auto"/>
        <w:ind w:firstLine="540"/>
        <w:jc w:val="both"/>
      </w:pPr>
      <w:r>
        <w:rPr>
          <w:sz w:val="24"/>
        </w:rPr>
        <w:t xml:space="preserve">2) пульт управления со значением характеристики "да" (далее - Характеристика N 2).</w:t>
      </w:r>
    </w:p>
    <w:p>
      <w:pPr>
        <w:pStyle w:val="0"/>
        <w:spacing w:before="240" w:lineRule="auto"/>
        <w:ind w:firstLine="540"/>
        <w:jc w:val="both"/>
      </w:pPr>
      <w:r>
        <w:rPr>
          <w:sz w:val="24"/>
        </w:rPr>
        <w:t xml:space="preserve">Вместе с тем в силу </w:t>
      </w:r>
      <w:hyperlink w:history="0"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"в" пункта 2 части 1 статьи 43</w:t>
        </w:r>
      </w:hyperlink>
      <w:r>
        <w:rPr>
          <w:sz w:val="24"/>
        </w:rPr>
        <w:t xml:space="preserve"> Закона о контрактной системе в составе заявки на участие в закупке также должны содержаться документы, подтверждающие соответствие поставляемого участником закупки товара требованиям законодательства Российской Федерации.</w:t>
      </w:r>
    </w:p>
    <w:p>
      <w:pPr>
        <w:pStyle w:val="0"/>
        <w:spacing w:before="240" w:lineRule="auto"/>
        <w:ind w:firstLine="540"/>
        <w:jc w:val="both"/>
      </w:pPr>
      <w:r>
        <w:rPr>
          <w:sz w:val="24"/>
        </w:rPr>
        <w:t xml:space="preserve">При осуществлении закупки медицинских изделий заявка участника должна быть сформирована в том числе с учетом характеристик, содержащихся в регистрационном удостоверении на медицинское изделие, являющемся обязательным документом, подтверждающим допуск такого изделия к обращению на территории Российской Федерации (</w:t>
      </w:r>
      <w:hyperlink w:history="0" r:id="rId10" w:tooltip="Постановление Правительства РФ от 30.11.2024 N 1684 (ред. от 30.12.2025) &quot;Об утверждении Правил государственной регистрации медицинских изделий&quot; ------------ Недействующая редакция {КонсультантПлюс}">
        <w:r>
          <w:rPr>
            <w:sz w:val="24"/>
            <w:color w:val="0000ff"/>
          </w:rPr>
          <w:t xml:space="preserve">пункт 2</w:t>
        </w:r>
      </w:hyperlink>
      <w:r>
        <w:rPr>
          <w:sz w:val="24"/>
        </w:rPr>
        <w:t xml:space="preserve"> Постановления Правительства Российской Федерации от 30.11.2024 N 1684 "Об утверждении Правил государственной регистрации медицинских изделий" (далее - Правила регистрации МИ)).</w:t>
      </w:r>
    </w:p>
    <w:p>
      <w:pPr>
        <w:pStyle w:val="0"/>
        <w:spacing w:before="240" w:lineRule="auto"/>
        <w:ind w:firstLine="540"/>
        <w:jc w:val="both"/>
      </w:pPr>
      <w:r>
        <w:rPr>
          <w:sz w:val="24"/>
        </w:rPr>
        <w:t xml:space="preserve">Заявка на участие в закупке на поставку медицинского изделия должна содержать достоверные сведения в отношении предлагаемого к поставке товара, соответствующие объекту закупки и установленным заказчиком характеристикам, а также не противоречить сведениям, указанным в регистрационном удостоверении на медицинское изделие (указанная позиция антимонопольного органа содержится в письме ФАС России от 14.10.2025 N ГР/96802/25).</w:t>
      </w:r>
    </w:p>
    <w:p>
      <w:pPr>
        <w:pStyle w:val="0"/>
        <w:spacing w:before="240" w:lineRule="auto"/>
        <w:ind w:firstLine="540"/>
        <w:jc w:val="both"/>
      </w:pPr>
      <w:r>
        <w:rPr>
          <w:sz w:val="24"/>
        </w:rPr>
        <w:t xml:space="preserve">При этом в силу </w:t>
      </w:r>
      <w:hyperlink w:history="0" r:id="rId11" w:tooltip="Постановление Правительства РФ от 30.11.2024 N 1684 (ред. от 30.12.2025) &quot;Об утверждении Правил государственной регистрации медицинских изделий&quot; ------------ Недействующая редакция {КонсультантПлюс}">
        <w:r>
          <w:rPr>
            <w:sz w:val="24"/>
            <w:color w:val="0000ff"/>
          </w:rPr>
          <w:t xml:space="preserve">Правил</w:t>
        </w:r>
      </w:hyperlink>
      <w:r>
        <w:rPr>
          <w:sz w:val="24"/>
        </w:rPr>
        <w:t xml:space="preserve"> регистрации МИ документы, регламентирующие конструкцию медицинского изделия, устанавливающие технические требования и содержащие данные для его разработки, производства, применения, эксплуатации, технического обслуживания, ремонта, утилизации или уничтожения, представляют собой техническую документацию производителя (изготовителя) медицинского изделия.</w:t>
      </w:r>
    </w:p>
    <w:p>
      <w:pPr>
        <w:pStyle w:val="0"/>
        <w:spacing w:before="240" w:lineRule="auto"/>
        <w:ind w:firstLine="540"/>
        <w:jc w:val="both"/>
      </w:pPr>
      <w:hyperlink w:history="0" r:id="rId12" w:tooltip="Постановление Правительства РФ от 30.11.2024 N 1684 (ред. от 30.12.2025) &quot;Об утверждении Правил государственной регистрации медицинских изделий&quot; ------------ Недействующая редакция {КонсультантПлюс}">
        <w:r>
          <w:rPr>
            <w:sz w:val="24"/>
            <w:color w:val="0000ff"/>
          </w:rPr>
          <w:t xml:space="preserve">Пунктом 105</w:t>
        </w:r>
      </w:hyperlink>
      <w:r>
        <w:rPr>
          <w:sz w:val="24"/>
        </w:rPr>
        <w:t xml:space="preserve"> Правил регистрации МИ предусмотрено, что в случае несоответствия медицинского изделия требованиям нормативной документации, технической и (или) эксплуатационной документации производителя (изготовителя) регистрирующим органом оформляется заключение по результатам экспертизы качества, эффективности и безопасности медицинского изделия, свидетельствующее о невозможности государственной регистрации отечественного медицинского изделия.</w:t>
      </w:r>
    </w:p>
    <w:p>
      <w:pPr>
        <w:pStyle w:val="0"/>
        <w:spacing w:before="240" w:lineRule="auto"/>
        <w:ind w:firstLine="540"/>
        <w:jc w:val="both"/>
      </w:pPr>
      <w:r>
        <w:rPr>
          <w:sz w:val="24"/>
        </w:rPr>
        <w:t xml:space="preserve">Согласно </w:t>
      </w:r>
      <w:hyperlink w:history="0" r:id="rId13" w:tooltip="Постановление Правительства РФ от 30.11.2024 N 1684 (ред. от 30.12.2025) &quot;Об утверждении Правил государственной регистрации медицинских изделий&quot; ------------ Недействующая редакция {КонсультантПлюс}">
        <w:r>
          <w:rPr>
            <w:sz w:val="24"/>
            <w:color w:val="0000ff"/>
          </w:rPr>
          <w:t xml:space="preserve">пункту 56</w:t>
        </w:r>
      </w:hyperlink>
      <w:r>
        <w:rPr>
          <w:sz w:val="24"/>
        </w:rPr>
        <w:t xml:space="preserve"> Правил регистрации МИ техническая документация производителя (изготовителя) на медицинское изделие, эксплуатационная документация производителя (изготовителя) на медицинское изделие, в том числе инструкция по применению или руководство по эксплуатации медицинского изделия, могут быть дополнительно внесены посредством единого личного кабинета заявителя в виде сведений, подписанных усиленной квалифицированной электронной подписью или усиленной неквалифицированной электронной подписью заявителя.</w:t>
      </w:r>
    </w:p>
    <w:p>
      <w:pPr>
        <w:pStyle w:val="0"/>
        <w:spacing w:before="240" w:lineRule="auto"/>
        <w:ind w:firstLine="540"/>
        <w:jc w:val="both"/>
      </w:pPr>
      <w:r>
        <w:rPr>
          <w:sz w:val="24"/>
        </w:rPr>
        <w:t xml:space="preserve">Из указанного следует, что руководство по эксплуатации, так же как инструкция по применению, является частью регистрационного досье на медицинское изделие, в случае несоответствия медицинского изделия технической и (или) эксплуатационной документации производителя (изготовителя) регистрация и эксплуатация данного медицинского изделия не представляются возможными без проведения дополнительной экспертизы качества, эффективности и безопасности данного медицинского изделия.</w:t>
      </w:r>
    </w:p>
    <w:p>
      <w:pPr>
        <w:pStyle w:val="0"/>
        <w:spacing w:before="240" w:lineRule="auto"/>
        <w:ind w:firstLine="540"/>
        <w:jc w:val="both"/>
      </w:pPr>
      <w:r>
        <w:rPr>
          <w:sz w:val="24"/>
        </w:rPr>
        <w:t xml:space="preserve">Руководство по эксплуатации и инструкция по применению, являясь частью регистрационного досье на медицинское изделие, размещенного в Реестре медицинских изделий, являются надлежащим источником для подтверждения достоверности характеристик медицинского изделия.</w:t>
      </w:r>
    </w:p>
    <w:p>
      <w:pPr>
        <w:pStyle w:val="0"/>
        <w:spacing w:before="240" w:lineRule="auto"/>
        <w:ind w:firstLine="540"/>
        <w:jc w:val="both"/>
      </w:pPr>
      <w:r>
        <w:rPr>
          <w:sz w:val="24"/>
        </w:rPr>
        <w:t xml:space="preserve">При этом для проверки сведений, указанных в заявке участника закупки, о предлагаемом к поставке товаре, являющемся медицинским изделием, достаточно общедоступных данных, полученных из официального источника информации о медицинских изделиях - Реестра медицинских изделий.</w:t>
      </w:r>
    </w:p>
    <w:p>
      <w:pPr>
        <w:pStyle w:val="0"/>
        <w:spacing w:before="240" w:lineRule="auto"/>
        <w:ind w:firstLine="540"/>
        <w:jc w:val="both"/>
      </w:pPr>
      <w:r>
        <w:rPr>
          <w:sz w:val="24"/>
        </w:rPr>
        <w:t xml:space="preserve">Победителем в заявке на участие в закупке представлено предложение в отношении объекта закупки - FotonFLY 5M-A (далее - Товар) с указанием следующих показателей вышеуказанных характеристик:</w:t>
      </w:r>
    </w:p>
    <w:p>
      <w:pPr>
        <w:pStyle w:val="0"/>
        <w:spacing w:before="240" w:lineRule="auto"/>
        <w:ind w:firstLine="540"/>
        <w:jc w:val="both"/>
      </w:pPr>
      <w:r>
        <w:rPr>
          <w:sz w:val="24"/>
        </w:rPr>
        <w:t xml:space="preserve">1) цветовая температура со значением характеристики "</w:t>
      </w: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4 500 К";</w:t>
      </w:r>
    </w:p>
    <w:p>
      <w:pPr>
        <w:pStyle w:val="0"/>
        <w:spacing w:before="240" w:lineRule="auto"/>
        <w:ind w:firstLine="540"/>
        <w:jc w:val="both"/>
      </w:pPr>
      <w:r>
        <w:rPr>
          <w:sz w:val="24"/>
        </w:rPr>
        <w:t xml:space="preserve">2) пульт управления со значением характеристики "да".</w:t>
      </w:r>
    </w:p>
    <w:p>
      <w:pPr>
        <w:pStyle w:val="0"/>
        <w:spacing w:before="240" w:lineRule="auto"/>
        <w:ind w:firstLine="540"/>
        <w:jc w:val="both"/>
      </w:pPr>
      <w:r>
        <w:rPr>
          <w:sz w:val="24"/>
        </w:rPr>
        <w:t xml:space="preserve">Представитель Заказчика на заседании Комиссии пояснил, что комиссия по осуществлению закупок проверила характеристики, указанные в заявке, на соответствие характеристикам, указанным в Извещении, и приняла решение о соответствии заявки Победителя требованиям Извещения и </w:t>
      </w: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r>
        <w:rPr>
          <w:sz w:val="24"/>
        </w:rPr>
        <w:t xml:space="preserve">Вместе с тем Комиссией установлено, что в Реестре медицинских изделий содержится руководство по эксплуатации товара, предложенного к поставке Победителем (далее - Руководство).</w:t>
      </w:r>
    </w:p>
    <w:p>
      <w:pPr>
        <w:pStyle w:val="0"/>
        <w:spacing w:before="240" w:lineRule="auto"/>
        <w:ind w:firstLine="540"/>
        <w:jc w:val="both"/>
      </w:pPr>
      <w:r>
        <w:rPr>
          <w:sz w:val="24"/>
        </w:rPr>
        <w:t xml:space="preserve">В соответствии с Руководством Характеристика N 1 Товара имеет значение 4 000 К (+150 К -150 К), указание на Характеристику N 2 в Руководстве отсутствует.</w:t>
      </w:r>
    </w:p>
    <w:p>
      <w:pPr>
        <w:pStyle w:val="0"/>
        <w:spacing w:before="240" w:lineRule="auto"/>
        <w:ind w:firstLine="540"/>
        <w:jc w:val="both"/>
      </w:pPr>
      <w:r>
        <w:rPr>
          <w:sz w:val="24"/>
        </w:rPr>
        <w:t xml:space="preserve">Вопреки доводам Заявителя обязанность Заказчика выявлять недостоверную информацию прямо следует из </w:t>
      </w:r>
      <w:hyperlink w:history="0"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8 части 12 статьи 48</w:t>
        </w:r>
      </w:hyperlink>
      <w:r>
        <w:rPr>
          <w:sz w:val="24"/>
        </w:rPr>
        <w:t xml:space="preserve"> Закона о контрактной системе.</w:t>
      </w:r>
    </w:p>
    <w:p>
      <w:pPr>
        <w:pStyle w:val="0"/>
        <w:spacing w:before="240" w:lineRule="auto"/>
        <w:ind w:firstLine="540"/>
        <w:jc w:val="both"/>
      </w:pPr>
      <w:r>
        <w:rPr>
          <w:sz w:val="24"/>
        </w:rPr>
        <w:t xml:space="preserve">ФАС России вынесено </w:t>
      </w:r>
      <w:hyperlink w:history="0" r:id="rId16" w:tooltip="Ссылка на КонсультантПлюс">
        <w:r>
          <w:rPr>
            <w:sz w:val="24"/>
            <w:color w:val="0000ff"/>
          </w:rPr>
          <w:t xml:space="preserve">решение</w:t>
        </w:r>
      </w:hyperlink>
      <w:r>
        <w:rPr>
          <w:sz w:val="24"/>
        </w:rPr>
        <w:t xml:space="preserve"> по результатам проведения внеплановой проверки от 24.07.2025 по делу N 25/44/99/П25, согласно которому в действиях комиссии по осуществлению закупок установлено нарушение </w:t>
      </w:r>
      <w:hyperlink w:history="0"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"а" пункта 1 части 5 статьи 49</w:t>
        </w:r>
      </w:hyperlink>
      <w:r>
        <w:rPr>
          <w:sz w:val="24"/>
        </w:rPr>
        <w:t xml:space="preserve"> Закона о контрактной системе.</w:t>
      </w:r>
    </w:p>
    <w:p>
      <w:pPr>
        <w:pStyle w:val="0"/>
        <w:spacing w:before="240" w:lineRule="auto"/>
        <w:ind w:firstLine="540"/>
        <w:jc w:val="both"/>
      </w:pPr>
      <w:r>
        <w:rPr>
          <w:sz w:val="24"/>
        </w:rPr>
        <w:t xml:space="preserve">Заказчик, не согласившись с </w:t>
      </w:r>
      <w:hyperlink w:history="0" r:id="rId18" w:tooltip="Ссылка на КонсультантПлюс">
        <w:r>
          <w:rPr>
            <w:sz w:val="24"/>
            <w:color w:val="0000ff"/>
          </w:rPr>
          <w:t xml:space="preserve">Решением</w:t>
        </w:r>
      </w:hyperlink>
      <w:r>
        <w:rPr>
          <w:sz w:val="24"/>
        </w:rPr>
        <w:t xml:space="preserve"> ФАС России, обжаловал его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w:t>
      </w:r>
      <w:hyperlink w:history="0" r:id="rId19" w:tooltip="Ссылка на КонсультантПлюс">
        <w:r>
          <w:rPr>
            <w:sz w:val="24"/>
            <w:color w:val="0000ff"/>
          </w:rPr>
          <w:t xml:space="preserve">Решение</w:t>
        </w:r>
      </w:hyperlink>
      <w:r>
        <w:rPr>
          <w:sz w:val="24"/>
        </w:rPr>
        <w:t xml:space="preserve"> ФАС России признано законным и обоснованным.</w:t>
      </w:r>
    </w:p>
    <w:p>
      <w:pPr>
        <w:pStyle w:val="0"/>
        <w:spacing w:before="240" w:lineRule="auto"/>
        <w:ind w:firstLine="540"/>
        <w:jc w:val="both"/>
      </w:pPr>
      <w:r>
        <w:rPr>
          <w:sz w:val="24"/>
        </w:rPr>
        <w:t xml:space="preserve">Девятый арбитражный апелляционный суд, оставляя в силе </w:t>
      </w:r>
      <w:hyperlink w:history="0" r:id="rId20" w:tooltip="Ссылка на КонсультантПлюс">
        <w:r>
          <w:rPr>
            <w:sz w:val="24"/>
            <w:color w:val="0000ff"/>
          </w:rPr>
          <w:t xml:space="preserve">решение</w:t>
        </w:r>
      </w:hyperlink>
      <w:r>
        <w:rPr>
          <w:sz w:val="24"/>
        </w:rPr>
        <w:t xml:space="preserve"> суда первой инстанции, пришел к следующим выводам:</w:t>
      </w:r>
    </w:p>
    <w:p>
      <w:pPr>
        <w:pStyle w:val="0"/>
        <w:spacing w:before="240" w:lineRule="auto"/>
        <w:ind w:firstLine="540"/>
        <w:jc w:val="both"/>
      </w:pPr>
      <w:r>
        <w:rPr>
          <w:sz w:val="24"/>
          <w:i w:val="on"/>
        </w:rPr>
        <w:t xml:space="preserve">"Исходя из изложенного, апелляционный суд соглашается с выводом суда о том, что при рассмотрении заявок, поданных на участие в аукционе, комиссия Министерства по осуществлению закупок была обязана подтвердить заявленные участниками характеристики предложенного к поставке товара, сопоставив их со сведениями, содержащимися в ГРМИ. Иной подход приводит к тому, что к участию в закупке могут быть допущены участники, представившие недостоверные сведения, что противоречит вышеуказанным нормам </w:t>
      </w:r>
      <w:hyperlink w:history="0" r:id="rId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Закона</w:t>
        </w:r>
      </w:hyperlink>
      <w:r>
        <w:rPr>
          <w:sz w:val="24"/>
          <w:i w:val="on"/>
        </w:rPr>
        <w:t xml:space="preserve"> о контрактной системе.</w:t>
      </w:r>
    </w:p>
    <w:p>
      <w:pPr>
        <w:pStyle w:val="0"/>
        <w:spacing w:before="240" w:lineRule="auto"/>
        <w:ind w:firstLine="540"/>
        <w:jc w:val="both"/>
      </w:pPr>
      <w:r>
        <w:rPr>
          <w:sz w:val="24"/>
          <w:i w:val="on"/>
        </w:rPr>
        <w:t xml:space="preserve">В данном случае допущенное комиссией бездействие по непроведению проверки достоверности представленных участником сведений о товаре привело к тому, что ИП Анисимов П.В. был неправомерно допущен к участию в аукционе, а также признан его победителем несмотря на то, что предложенный им к поставке товар (светильник FotonFLY 5M-A) не соответствовал требованиям, содержащимся в извещении.</w:t>
      </w:r>
    </w:p>
    <w:p>
      <w:pPr>
        <w:pStyle w:val="0"/>
        <w:spacing w:before="240" w:lineRule="auto"/>
        <w:ind w:firstLine="540"/>
        <w:jc w:val="both"/>
      </w:pPr>
      <w:r>
        <w:rPr>
          <w:sz w:val="24"/>
          <w:i w:val="on"/>
        </w:rPr>
        <w:t xml:space="preserve">При таких обстоятельствах суд первой инстанции пришел к обоснованному выводу о законности оспариваемого </w:t>
      </w:r>
      <w:hyperlink w:history="0" r:id="rId22" w:tooltip="Ссылка на КонсультантПлюс">
        <w:r>
          <w:rPr>
            <w:sz w:val="24"/>
            <w:color w:val="0000ff"/>
            <w:i w:val="on"/>
          </w:rPr>
          <w:t xml:space="preserve">решения</w:t>
        </w:r>
      </w:hyperlink>
      <w:r>
        <w:rPr>
          <w:sz w:val="24"/>
          <w:i w:val="on"/>
        </w:rPr>
        <w:t xml:space="preserve"> ФАС России, которым в действиях комиссии Министерства по осуществлению закупок установлено нарушение </w:t>
      </w:r>
      <w:hyperlink w:history="0"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подпункта "а" пункта 1 части 5 статьи 49</w:t>
        </w:r>
      </w:hyperlink>
      <w:r>
        <w:rPr>
          <w:sz w:val="24"/>
          <w:i w:val="on"/>
        </w:rPr>
        <w:t xml:space="preserve"> Закона о контрактной системе".</w:t>
      </w:r>
    </w:p>
    <w:p>
      <w:pPr>
        <w:pStyle w:val="0"/>
        <w:spacing w:before="240" w:lineRule="auto"/>
        <w:ind w:firstLine="540"/>
        <w:jc w:val="both"/>
      </w:pPr>
      <w:r>
        <w:rPr>
          <w:sz w:val="24"/>
        </w:rPr>
        <w:t xml:space="preserve">(</w:t>
      </w:r>
      <w:hyperlink w:history="0" r:id="rId24" w:tooltip="Постановление Девятого арбитражного апелляционного суда от 27.04.2026 N 09АП-8827/2026 по делу N А40-257441/2025 Категория: Споры с антимонопольными органами. Требования: Об отмене акта антимонопольного органа. Обстоятельства: В данном случае допущенное комиссией бездействие по непроведению проверки достоверности представленных участником сведений о товаре привело к тому, что индивидуальный предприниматель был неправомерно допущен к участию в аукционе, а также признан его победителем несмотря на то, что пре {КонсультантПлюс}">
        <w:r>
          <w:rPr>
            <w:sz w:val="24"/>
            <w:color w:val="0000ff"/>
          </w:rPr>
          <w:t xml:space="preserve">Постановление</w:t>
        </w:r>
      </w:hyperlink>
      <w:r>
        <w:rPr>
          <w:sz w:val="24"/>
        </w:rPr>
        <w:t xml:space="preserve"> Девятого арбитражного апелляционного суда от 27.04.2026 N 09АП-8827/2026 по делу N А40-257441/25)</w:t>
      </w:r>
    </w:p>
    <w:p>
      <w:pPr>
        <w:pStyle w:val="0"/>
        <w:jc w:val="both"/>
      </w:pPr>
      <w:r>
        <w:rPr>
          <w:sz w:val="24"/>
        </w:rPr>
      </w:r>
    </w:p>
    <w:p>
      <w:pPr>
        <w:pStyle w:val="2"/>
        <w:outlineLvl w:val="0"/>
        <w:ind w:firstLine="540"/>
        <w:jc w:val="both"/>
      </w:pPr>
      <w:r>
        <w:rPr>
          <w:sz w:val="24"/>
        </w:rPr>
        <w:t xml:space="preserve">2. Истечение срока действия независимой гарантии в нерабочий день не является основанием для отклонения заявки.</w:t>
      </w:r>
    </w:p>
    <w:p>
      <w:pPr>
        <w:pStyle w:val="0"/>
        <w:jc w:val="both"/>
      </w:pPr>
      <w:r>
        <w:rPr>
          <w:sz w:val="24"/>
        </w:rPr>
      </w:r>
    </w:p>
    <w:p>
      <w:pPr>
        <w:pStyle w:val="0"/>
        <w:ind w:firstLine="540"/>
        <w:jc w:val="both"/>
      </w:pPr>
      <w:r>
        <w:rPr>
          <w:sz w:val="24"/>
        </w:rPr>
        <w:t xml:space="preserve">ФАС России провела внеплановую проверку в соответствии с доводами жалобы Общества на действия комиссии по осуществлению закупок при проведении Заказчиком, уполномоченным органом, комиссией по осуществлению закупок, оператором электронной площадки открытого конкурса в электронной форме на право заключения контракта на выполнение работ по ремонту участков автомобильных дорог общего пользования регионального и межмуниципального значения в Ветлужском муниципальном округе Нижегородской области (номер извещения в единой информационной системе в сфере закупок </w:t>
      </w:r>
      <w:hyperlink w:history="0" r:id="rId25">
        <w:r>
          <w:rPr>
            <w:sz w:val="24"/>
            <w:color w:val="0000ff"/>
          </w:rPr>
          <w:t xml:space="preserve">www.zakupki.gov.ru</w:t>
        </w:r>
      </w:hyperlink>
      <w:r>
        <w:rPr>
          <w:sz w:val="24"/>
        </w:rPr>
        <w:t xml:space="preserve"> (далее - ЕИС) - 0832200006625000257) (далее - Конкурс, Извещение).</w:t>
      </w:r>
    </w:p>
    <w:p>
      <w:pPr>
        <w:pStyle w:val="0"/>
        <w:spacing w:before="240" w:lineRule="auto"/>
        <w:ind w:firstLine="540"/>
        <w:jc w:val="both"/>
      </w:pPr>
      <w:r>
        <w:rPr>
          <w:sz w:val="24"/>
        </w:rPr>
        <w:t xml:space="preserve">По мнению Общества, его права и законные интересы нарушены действиями комиссии по осуществлению закупок, неправомерно признавшей заявку Общества не соответствующей требованиям Извещения и </w:t>
      </w:r>
      <w:hyperlink w:history="0"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r>
        <w:rPr>
          <w:sz w:val="24"/>
        </w:rPr>
        <w:t xml:space="preserve">Согласно </w:t>
      </w:r>
      <w:hyperlink w:history="0" r:id="rId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5 части 2 статьи 45</w:t>
        </w:r>
      </w:hyperlink>
      <w:r>
        <w:rPr>
          <w:sz w:val="24"/>
        </w:rPr>
        <w:t xml:space="preserve"> Закона о контрактной системе независимая гарантия должна быть безотзывной и должна содержать срок действия независимой гарантии с учетом требований </w:t>
      </w:r>
      <w:hyperlink w:history="0" r:id="rId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статей 44</w:t>
        </w:r>
      </w:hyperlink>
      <w:r>
        <w:rPr>
          <w:sz w:val="24"/>
        </w:rPr>
        <w:t xml:space="preserve"> и </w:t>
      </w:r>
      <w:hyperlink w:history="0" r:id="rId2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96</w:t>
        </w:r>
      </w:hyperlink>
      <w:r>
        <w:rPr>
          <w:sz w:val="24"/>
        </w:rPr>
        <w:t xml:space="preserve"> Закона о контрактной системе.</w:t>
      </w:r>
    </w:p>
    <w:p>
      <w:pPr>
        <w:pStyle w:val="0"/>
        <w:spacing w:before="240" w:lineRule="auto"/>
        <w:ind w:firstLine="540"/>
        <w:jc w:val="both"/>
      </w:pPr>
      <w:hyperlink w:history="0"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6 статьи 45</w:t>
        </w:r>
      </w:hyperlink>
      <w:r>
        <w:rPr>
          <w:sz w:val="24"/>
        </w:rPr>
        <w:t xml:space="preserve"> Закона о контрактной системе установлено, что основанием для отказа в принятии независимой гарантии заказчиком является несоответствие независимой гарантии требованиям, содержащимся в извещении об осуществлении закупки, приглашении, документации о закупке, проекте контракта, который заключается с единственным поставщиком (подрядчиком, исполнителем).</w:t>
      </w:r>
    </w:p>
    <w:p>
      <w:pPr>
        <w:pStyle w:val="0"/>
        <w:spacing w:before="240" w:lineRule="auto"/>
        <w:ind w:firstLine="540"/>
        <w:jc w:val="both"/>
      </w:pPr>
      <w:hyperlink w:history="0" r:id="rId31"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Пунктом 1</w:t>
        </w:r>
      </w:hyperlink>
      <w:r>
        <w:rPr>
          <w:sz w:val="24"/>
        </w:rPr>
        <w:t xml:space="preserve"> Постановления Правительства Российской Федерации от 08.11.2013 N 1005 утверждена типовая </w:t>
      </w:r>
      <w:hyperlink w:history="0" r:id="rId32"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форма</w:t>
        </w:r>
      </w:hyperlink>
      <w:r>
        <w:rPr>
          <w:sz w:val="24"/>
        </w:rPr>
        <w:t xml:space="preserve"> независимой гарантии, предоставляемой в качестве обеспечения исполнения контракта (далее - Типовая форма).</w:t>
      </w:r>
    </w:p>
    <w:p>
      <w:pPr>
        <w:pStyle w:val="0"/>
        <w:spacing w:before="240" w:lineRule="auto"/>
        <w:ind w:firstLine="540"/>
        <w:jc w:val="both"/>
      </w:pPr>
      <w:r>
        <w:rPr>
          <w:sz w:val="24"/>
        </w:rPr>
        <w:t xml:space="preserve">В соответствии с Типовой </w:t>
      </w:r>
      <w:hyperlink w:history="0" r:id="rId33"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формой</w:t>
        </w:r>
      </w:hyperlink>
      <w:r>
        <w:rPr>
          <w:sz w:val="24"/>
        </w:rPr>
        <w:t xml:space="preserve"> независимая гарантия должна содержать раздел "Условия независимой гарантии", в котором должны быть отражены в том числе сведения о сроке действия независимой гарантии.</w:t>
      </w:r>
    </w:p>
    <w:p>
      <w:pPr>
        <w:pStyle w:val="0"/>
        <w:spacing w:before="240" w:lineRule="auto"/>
        <w:ind w:firstLine="540"/>
        <w:jc w:val="both"/>
      </w:pPr>
      <w:r>
        <w:rPr>
          <w:sz w:val="24"/>
        </w:rPr>
        <w:t xml:space="preserve">В силу </w:t>
      </w:r>
      <w:hyperlink w:history="0" r:id="rId3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7 части 12 статьи 48</w:t>
        </w:r>
      </w:hyperlink>
      <w:r>
        <w:rPr>
          <w:sz w:val="24"/>
        </w:rPr>
        <w:t xml:space="preserve"> Закона о контрактной системе при рассмотрении вторых частей заявок на участие в закупке соответствующая заявка подлежит отклонению в случаях, предусмотренных </w:t>
      </w:r>
      <w:hyperlink w:history="0" r:id="rId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6 статьи 45</w:t>
        </w:r>
      </w:hyperlink>
      <w:r>
        <w:rPr>
          <w:sz w:val="24"/>
        </w:rPr>
        <w:t xml:space="preserve"> Закона о контрактной системе.</w:t>
      </w:r>
    </w:p>
    <w:p>
      <w:pPr>
        <w:pStyle w:val="0"/>
        <w:spacing w:before="240" w:lineRule="auto"/>
        <w:ind w:firstLine="540"/>
        <w:jc w:val="both"/>
      </w:pPr>
      <w:r>
        <w:rPr>
          <w:sz w:val="24"/>
        </w:rPr>
        <w:t xml:space="preserve">Согласно протоколу подведения итогов определения поставщика (подрядчика, исполнителя) заявка Общества признана не соответствующей требованиям Извещения по следующему основанию: "Срок действия независимой гарантии, представленной участником закупки, составляет менее месяца с даты окончания срока подачи заявок, что не соответствует требованиям </w:t>
      </w:r>
      <w:hyperlink w:history="0" r:id="rId3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4 статьи 44</w:t>
        </w:r>
      </w:hyperlink>
      <w:r>
        <w:rPr>
          <w:sz w:val="24"/>
        </w:rPr>
        <w:t xml:space="preserve"> Федерального закона N 44-ФЗ".</w:t>
      </w:r>
    </w:p>
    <w:p>
      <w:pPr>
        <w:pStyle w:val="0"/>
        <w:spacing w:before="240" w:lineRule="auto"/>
        <w:ind w:firstLine="540"/>
        <w:jc w:val="both"/>
      </w:pPr>
      <w:r>
        <w:rPr>
          <w:sz w:val="24"/>
        </w:rPr>
        <w:t xml:space="preserve">На заседании Комиссии ФАС России установлено, что Обществом в качестве обеспечения заявки на участие в Конкурсе получена независимая гарантия от 07.04.2025 N ЭБГ02-25/1986211/МГО (далее - Независимая гарантия), выданная ББР Банком (АО).</w:t>
      </w:r>
    </w:p>
    <w:p>
      <w:pPr>
        <w:pStyle w:val="0"/>
        <w:spacing w:before="240" w:lineRule="auto"/>
        <w:ind w:firstLine="540"/>
        <w:jc w:val="both"/>
      </w:pPr>
      <w:r>
        <w:rPr>
          <w:sz w:val="24"/>
        </w:rPr>
        <w:t xml:space="preserve">Согласно Независимой гарантии срок действия независимой гарантии - 09.05.2025.</w:t>
      </w:r>
    </w:p>
    <w:p>
      <w:pPr>
        <w:pStyle w:val="0"/>
        <w:spacing w:before="240" w:lineRule="auto"/>
        <w:ind w:firstLine="540"/>
        <w:jc w:val="both"/>
      </w:pPr>
      <w:r>
        <w:rPr>
          <w:sz w:val="24"/>
        </w:rPr>
        <w:t xml:space="preserve">Представитель Заказчика на заседании Комиссии ФАС России пояснил, что представленный в Независимой гарантии срок составляет менее месяца с даты окончания срока подачи заявок, поскольку исчисляется с 10.04.2025 и истекает 10.05.2025.</w:t>
      </w:r>
    </w:p>
    <w:p>
      <w:pPr>
        <w:pStyle w:val="0"/>
        <w:spacing w:before="240" w:lineRule="auto"/>
        <w:ind w:firstLine="540"/>
        <w:jc w:val="both"/>
      </w:pPr>
      <w:r>
        <w:rPr>
          <w:sz w:val="24"/>
        </w:rPr>
        <w:t xml:space="preserve">Вместе с тем в случае применения правил исчисления сроков необходимо учитывать следующее.</w:t>
      </w:r>
    </w:p>
    <w:p>
      <w:pPr>
        <w:pStyle w:val="0"/>
        <w:spacing w:before="240" w:lineRule="auto"/>
        <w:ind w:firstLine="540"/>
        <w:jc w:val="both"/>
      </w:pPr>
      <w:r>
        <w:rPr>
          <w:sz w:val="24"/>
        </w:rPr>
        <w:t xml:space="preserve">Согласно </w:t>
      </w:r>
      <w:hyperlink w:history="0" r:id="rId37"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примечанию 5</w:t>
        </w:r>
      </w:hyperlink>
      <w:r>
        <w:rPr>
          <w:sz w:val="24"/>
        </w:rPr>
        <w:t xml:space="preserve"> к Типовой форме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составлять не менее месяца со дня окончания срока подачи заявок.</w:t>
      </w:r>
    </w:p>
    <w:p>
      <w:pPr>
        <w:pStyle w:val="0"/>
        <w:spacing w:before="240" w:lineRule="auto"/>
        <w:ind w:firstLine="540"/>
        <w:jc w:val="both"/>
      </w:pPr>
      <w:hyperlink w:history="0" r:id="rId38"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Пунктом 3 статьи 192</w:t>
        </w:r>
      </w:hyperlink>
      <w:r>
        <w:rPr>
          <w:sz w:val="24"/>
        </w:rPr>
        <w:t xml:space="preserve"> ГК РФ установлено, что срок, исчисляемый месяцами, истекает в соответствующее число последнего месяца срока.</w:t>
      </w:r>
    </w:p>
    <w:p>
      <w:pPr>
        <w:pStyle w:val="0"/>
        <w:spacing w:before="240" w:lineRule="auto"/>
        <w:ind w:firstLine="540"/>
        <w:jc w:val="both"/>
      </w:pPr>
      <w:r>
        <w:rPr>
          <w:sz w:val="24"/>
        </w:rPr>
        <w:t xml:space="preserve">В силу положений </w:t>
      </w:r>
      <w:hyperlink w:history="0" r:id="rId39"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статьи 193</w:t>
        </w:r>
      </w:hyperlink>
      <w:r>
        <w:rPr>
          <w:sz w:val="24"/>
        </w:rPr>
        <w:t xml:space="preserve"> ГК РФ, если последний день срока приходится на нерабочий день, днем окончания срока считается ближайший следующий за ним рабочий день.</w:t>
      </w:r>
    </w:p>
    <w:p>
      <w:pPr>
        <w:pStyle w:val="0"/>
        <w:spacing w:before="240" w:lineRule="auto"/>
        <w:ind w:firstLine="540"/>
        <w:jc w:val="both"/>
      </w:pPr>
      <w:r>
        <w:rPr>
          <w:sz w:val="24"/>
        </w:rPr>
        <w:t xml:space="preserve">В силу </w:t>
      </w:r>
      <w:hyperlink w:history="0" r:id="rId40"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статьи 191</w:t>
        </w:r>
      </w:hyperlink>
      <w:r>
        <w:rPr>
          <w:sz w:val="24"/>
        </w:rPr>
        <w:t xml:space="preserve"> ГК РФ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 Указанное правило заявителями учитывается и приводится в качестве аргумента о том, что месячный срок с даты окончания срока подачи заявок исчисляется с 10.04.2025.</w:t>
      </w:r>
    </w:p>
    <w:p>
      <w:pPr>
        <w:pStyle w:val="0"/>
        <w:spacing w:before="240" w:lineRule="auto"/>
        <w:ind w:firstLine="540"/>
        <w:jc w:val="both"/>
      </w:pPr>
      <w:r>
        <w:rPr>
          <w:sz w:val="24"/>
        </w:rPr>
        <w:t xml:space="preserve">Таким образом, срок действия Независимой гарантии установлен в соответствии с требованиями </w:t>
      </w:r>
      <w:hyperlink w:history="0" r:id="rId4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r>
        <w:rPr>
          <w:sz w:val="24"/>
        </w:rPr>
        <w:t xml:space="preserve">Так, ББР Банком (АО) выдана Независимая гарантия, срок которой приходится на 10.05.2025 (нерабочий день) и с учетом правил </w:t>
      </w:r>
      <w:hyperlink w:history="0" r:id="rId42"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статьи 193</w:t>
        </w:r>
      </w:hyperlink>
      <w:r>
        <w:rPr>
          <w:sz w:val="24"/>
        </w:rPr>
        <w:t xml:space="preserve"> ГК РФ переносится на 12.05.2025.</w:t>
      </w:r>
    </w:p>
    <w:p>
      <w:pPr>
        <w:pStyle w:val="0"/>
        <w:spacing w:before="240" w:lineRule="auto"/>
        <w:ind w:firstLine="540"/>
        <w:jc w:val="both"/>
      </w:pPr>
      <w:r>
        <w:rPr>
          <w:sz w:val="24"/>
        </w:rPr>
        <w:t xml:space="preserve">С учетом изложенного действия комиссии по осуществлению закупок, принявшей решение о признании заявки Общества не соответствующей требованиям Извещения, нарушают </w:t>
      </w:r>
      <w:hyperlink w:history="0" r:id="rId4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7 части 12 статьи 48</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44"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7 статьи 7.30.1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Заказчик, не согласившись с </w:t>
      </w:r>
      <w:hyperlink w:history="0" r:id="rId45" w:tooltip="Ссылка на КонсультантПлюс">
        <w:r>
          <w:rPr>
            <w:sz w:val="24"/>
            <w:color w:val="0000ff"/>
          </w:rPr>
          <w:t xml:space="preserve">Решением</w:t>
        </w:r>
      </w:hyperlink>
      <w:r>
        <w:rPr>
          <w:sz w:val="24"/>
        </w:rPr>
        <w:t xml:space="preserve"> ФАС России, обжаловал его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w:t>
      </w:r>
      <w:hyperlink w:history="0" r:id="rId46" w:tooltip="Ссылка на КонсультантПлюс">
        <w:r>
          <w:rPr>
            <w:sz w:val="24"/>
            <w:color w:val="0000ff"/>
          </w:rPr>
          <w:t xml:space="preserve">Решение</w:t>
        </w:r>
      </w:hyperlink>
      <w:r>
        <w:rPr>
          <w:sz w:val="24"/>
        </w:rPr>
        <w:t xml:space="preserve"> ФАС России признано законным и обоснованным.</w:t>
      </w:r>
    </w:p>
    <w:p>
      <w:pPr>
        <w:pStyle w:val="0"/>
        <w:spacing w:before="240" w:lineRule="auto"/>
        <w:ind w:firstLine="540"/>
        <w:jc w:val="both"/>
      </w:pPr>
      <w:hyperlink w:history="0" r:id="rId47" w:tooltip="Постановление Девятого арбитражного апелляционного суда от 21.11.2025 N 09АП-52345/2025 по делу N А40-122988/2025 Категория: Споры в сфере закупок для государственных и муниципальных нужд. Требования заказчика: О признании недействительным акта о незаконности недопуска к участию в аукционе. Обстоятельства: Действия комиссии по осуществлению закупок, принявшей решение о признании заявки общества не соответствующей требованиям извещения, нарушают требования действующего законодательства о контрактной системе  {КонсультантПлюс}">
        <w:r>
          <w:rPr>
            <w:sz w:val="24"/>
            <w:color w:val="0000ff"/>
          </w:rPr>
          <w:t xml:space="preserve">Постановлением</w:t>
        </w:r>
      </w:hyperlink>
      <w:r>
        <w:rPr>
          <w:sz w:val="24"/>
        </w:rPr>
        <w:t xml:space="preserve"> Девятого апелляционного арбитражного суда </w:t>
      </w:r>
      <w:hyperlink w:history="0" r:id="rId48" w:tooltip="Ссылка на КонсультантПлюс">
        <w:r>
          <w:rPr>
            <w:sz w:val="24"/>
            <w:color w:val="0000ff"/>
          </w:rPr>
          <w:t xml:space="preserve">решение</w:t>
        </w:r>
      </w:hyperlink>
      <w:r>
        <w:rPr>
          <w:sz w:val="24"/>
        </w:rPr>
        <w:t xml:space="preserve"> Арбитражного суда города Москвы от 21.11.2025 по делу N А40-122988/25 оставлено без изменения.</w:t>
      </w:r>
    </w:p>
    <w:p>
      <w:pPr>
        <w:pStyle w:val="0"/>
        <w:spacing w:before="240" w:lineRule="auto"/>
        <w:ind w:firstLine="540"/>
        <w:jc w:val="both"/>
      </w:pPr>
      <w:r>
        <w:rPr>
          <w:sz w:val="24"/>
        </w:rPr>
        <w:t xml:space="preserve">Заказчик обратился в Арбитражный суд Московского округа, Арбитражным судом Московского округа </w:t>
      </w:r>
      <w:hyperlink w:history="0" r:id="rId49" w:tooltip="Ссылка на КонсультантПлюс">
        <w:r>
          <w:rPr>
            <w:sz w:val="24"/>
            <w:color w:val="0000ff"/>
          </w:rPr>
          <w:t xml:space="preserve">Решение</w:t>
        </w:r>
      </w:hyperlink>
      <w:r>
        <w:rPr>
          <w:sz w:val="24"/>
        </w:rPr>
        <w:t xml:space="preserve"> ФАС России признано законным и обоснованным.</w:t>
      </w:r>
    </w:p>
    <w:p>
      <w:pPr>
        <w:pStyle w:val="0"/>
        <w:spacing w:before="240" w:lineRule="auto"/>
        <w:ind w:firstLine="540"/>
        <w:jc w:val="both"/>
      </w:pPr>
      <w:r>
        <w:rPr>
          <w:sz w:val="24"/>
        </w:rPr>
        <w:t xml:space="preserve">В части доводов Заказчика отмечено:</w:t>
      </w:r>
    </w:p>
    <w:p>
      <w:pPr>
        <w:pStyle w:val="0"/>
        <w:spacing w:before="240" w:lineRule="auto"/>
        <w:ind w:firstLine="540"/>
        <w:jc w:val="both"/>
      </w:pPr>
      <w:r>
        <w:rPr>
          <w:sz w:val="24"/>
          <w:i w:val="on"/>
        </w:rPr>
        <w:t xml:space="preserve">"Правильно применив </w:t>
      </w:r>
      <w:hyperlink w:history="0" r:id="rId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статьи 1</w:t>
        </w:r>
      </w:hyperlink>
      <w:r>
        <w:rPr>
          <w:sz w:val="24"/>
          <w:i w:val="on"/>
        </w:rPr>
        <w:t xml:space="preserve">, </w:t>
      </w:r>
      <w:hyperlink w:history="0" r:id="rId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44</w:t>
        </w:r>
      </w:hyperlink>
      <w:r>
        <w:rPr>
          <w:sz w:val="24"/>
          <w:i w:val="on"/>
        </w:rPr>
        <w:t xml:space="preserve">, </w:t>
      </w:r>
      <w:hyperlink w:history="0" r:id="rId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45</w:t>
        </w:r>
      </w:hyperlink>
      <w:r>
        <w:rPr>
          <w:sz w:val="24"/>
          <w:i w:val="on"/>
        </w:rPr>
        <w:t xml:space="preserve">, </w:t>
      </w:r>
      <w:hyperlink w:history="0" r:id="rId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48</w:t>
        </w:r>
      </w:hyperlink>
      <w:r>
        <w:rPr>
          <w:sz w:val="24"/>
          <w:i w:val="on"/>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w:t>
      </w:r>
      <w:hyperlink w:history="0" r:id="rId54"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i w:val="on"/>
          </w:rPr>
          <w:t xml:space="preserve">Постановление</w:t>
        </w:r>
      </w:hyperlink>
      <w:r>
        <w:rPr>
          <w:sz w:val="24"/>
          <w:i w:val="on"/>
        </w:rPr>
        <w:t xml:space="preserve"> Правительства Российской Федерации от 08.11.2013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суды пришли к обоснованному выводу об отсутствии оснований для отклонения заявки общества.</w:t>
      </w:r>
    </w:p>
    <w:p>
      <w:pPr>
        <w:pStyle w:val="0"/>
        <w:spacing w:before="240" w:lineRule="auto"/>
        <w:ind w:firstLine="540"/>
        <w:jc w:val="both"/>
      </w:pPr>
      <w:r>
        <w:rPr>
          <w:sz w:val="24"/>
          <w:i w:val="on"/>
        </w:rPr>
        <w:t xml:space="preserve">Вопреки доводам подателя кассационной жалобы, из буквального содержания </w:t>
      </w:r>
      <w:hyperlink w:history="0" r:id="rId5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части 4 статьи 44</w:t>
        </w:r>
      </w:hyperlink>
      <w:r>
        <w:rPr>
          <w:sz w:val="24"/>
          <w:i w:val="on"/>
        </w:rPr>
        <w:t xml:space="preserve"> Закона о контрактной системе следует, что срок действия независимой гарантии должен составлять не менее месяца и исчисляется "с даты окончания срока подачи заявок", т.е. с 09.04.2025, а не, как ошибочно полагают заявители, с 10.04.2025, которое является уже следующим днем после окончания срока.</w:t>
      </w:r>
    </w:p>
    <w:p>
      <w:pPr>
        <w:pStyle w:val="0"/>
        <w:spacing w:before="240" w:lineRule="auto"/>
        <w:ind w:firstLine="540"/>
        <w:jc w:val="both"/>
      </w:pPr>
      <w:r>
        <w:rPr>
          <w:sz w:val="24"/>
          <w:i w:val="on"/>
        </w:rPr>
        <w:t xml:space="preserve">...как обоснованно отметили арбитражные суды, в соответствии со </w:t>
      </w:r>
      <w:hyperlink w:history="0" r:id="rId56"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i w:val="on"/>
          </w:rPr>
          <w:t xml:space="preserve">статьей 193</w:t>
        </w:r>
      </w:hyperlink>
      <w:r>
        <w:rPr>
          <w:sz w:val="24"/>
          <w:i w:val="on"/>
        </w:rPr>
        <w:t xml:space="preserve"> Гражданского кодекса Российской Федерации, если последний день срока приходится на нерабочий день, днем окончания срока считается ближайший следующий за ним рабочий день".</w:t>
      </w:r>
    </w:p>
    <w:p>
      <w:pPr>
        <w:pStyle w:val="0"/>
        <w:spacing w:before="240" w:lineRule="auto"/>
        <w:ind w:firstLine="540"/>
        <w:jc w:val="both"/>
      </w:pPr>
      <w:r>
        <w:rPr>
          <w:sz w:val="24"/>
        </w:rPr>
        <w:t xml:space="preserve">(</w:t>
      </w:r>
      <w:hyperlink w:history="0" r:id="rId57" w:tooltip="Постановление Арбитражного суда Московского округа от 22.04.2026 N Ф05-23479/2025 по делу N А40-122988/2025 Требование: О признании незаконным отдельного пункта решения антимонопольного органа в части признания в действиях конкурсной комиссии нарушения пункта 7 части 12 статьи 48 Закона о контрактной системе. Решение: В удовлетворении требования отказано, поскольку действия комиссии по осуществлению закупок, принявшей решение о признании заявки общества не соответствующей требованиям извещения, нарушают тре {КонсультантПлюс}">
        <w:r>
          <w:rPr>
            <w:sz w:val="24"/>
            <w:color w:val="0000ff"/>
          </w:rPr>
          <w:t xml:space="preserve">Постановление</w:t>
        </w:r>
      </w:hyperlink>
      <w:r>
        <w:rPr>
          <w:sz w:val="24"/>
        </w:rPr>
        <w:t xml:space="preserve"> Арбитражного суда Московского округа от 22.04.2026 по делу N А40-122988/2025)</w:t>
      </w:r>
    </w:p>
    <w:p>
      <w:pPr>
        <w:pStyle w:val="0"/>
        <w:jc w:val="both"/>
      </w:pPr>
      <w:r>
        <w:rPr>
          <w:sz w:val="24"/>
        </w:rPr>
      </w:r>
    </w:p>
    <w:p>
      <w:pPr>
        <w:pStyle w:val="2"/>
        <w:outlineLvl w:val="0"/>
        <w:ind w:firstLine="540"/>
        <w:jc w:val="both"/>
      </w:pPr>
      <w:r>
        <w:rPr>
          <w:sz w:val="24"/>
        </w:rPr>
        <w:t xml:space="preserve">3. Объединение заказчиком в один лот работ на территории всего субъекта может привести к ограничению количества участников закупки.</w:t>
      </w:r>
    </w:p>
    <w:p>
      <w:pPr>
        <w:pStyle w:val="0"/>
        <w:jc w:val="both"/>
      </w:pPr>
      <w:r>
        <w:rPr>
          <w:sz w:val="24"/>
        </w:rPr>
      </w:r>
    </w:p>
    <w:p>
      <w:pPr>
        <w:pStyle w:val="0"/>
        <w:ind w:firstLine="540"/>
        <w:jc w:val="both"/>
      </w:pPr>
      <w:r>
        <w:rPr>
          <w:sz w:val="24"/>
        </w:rPr>
        <w:t xml:space="preserve">В ФАС России поступило обращение Общества, содержащее информацию о наличии признаков нарушения законодательства Российской Федерации о контрактной системе в сфере закупок в действиях Заказчика.</w:t>
      </w:r>
    </w:p>
    <w:p>
      <w:pPr>
        <w:pStyle w:val="0"/>
        <w:spacing w:before="240" w:lineRule="auto"/>
        <w:ind w:firstLine="540"/>
        <w:jc w:val="both"/>
      </w:pPr>
      <w:r>
        <w:rPr>
          <w:sz w:val="24"/>
        </w:rPr>
        <w:t xml:space="preserve">Как следует из обращения, Заказчиком в ЕИС размещено извещение о проведении открытого конкурса на выполнение работ по содержанию автомобильных дорог общего пользования регионального и межмуниципального значения Оренбургской области и искусственных сооружений на них. Начальная цена контракта - 17 471 175 514,85 руб.</w:t>
      </w:r>
    </w:p>
    <w:p>
      <w:pPr>
        <w:pStyle w:val="0"/>
        <w:spacing w:before="240" w:lineRule="auto"/>
        <w:ind w:firstLine="540"/>
        <w:jc w:val="both"/>
      </w:pPr>
      <w:r>
        <w:rPr>
          <w:sz w:val="24"/>
        </w:rPr>
        <w:t xml:space="preserve">По результатам внеплановой проверки по обращению Общества ФАС России пришла к выводу, что объединение Заказчиком в один лот работ на территории всего субъекта Российской Федерации влечет увеличение объема услуг, НМЦК, размера обеспечения заявки, а также стоимости выполненных работ, представляемой участником в соответствии с </w:t>
      </w:r>
      <w:hyperlink w:history="0" r:id="rId58"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18 приложения</w:t>
        </w:r>
      </w:hyperlink>
      <w:r>
        <w:rPr>
          <w:sz w:val="24"/>
        </w:rPr>
        <w:t xml:space="preserve"> к Постановлению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pPr>
        <w:pStyle w:val="0"/>
        <w:spacing w:before="240" w:lineRule="auto"/>
        <w:ind w:firstLine="540"/>
        <w:jc w:val="both"/>
      </w:pPr>
      <w:r>
        <w:rPr>
          <w:sz w:val="24"/>
        </w:rPr>
        <w:t xml:space="preserve">Согласно </w:t>
      </w:r>
      <w:hyperlink w:history="0" r:id="rId5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позиции 18 приложения</w:t>
        </w:r>
      </w:hyperlink>
      <w:r>
        <w:rPr>
          <w:sz w:val="24"/>
        </w:rPr>
        <w:t xml:space="preserve"> к Постановлению N 2571 к участникам закупки на ремонт автомобильных дорог предъявляются дополнительные требования о наличии опыта выполнения соответствующих работ, при этом цена выполненных работ по таким договорам должна составлять не менее 20% НМЦК. Извещением предусмотрено, что участник Конкурса должен обладать опытом выполнения работ стоимостью более 3 494 235 102,97 руб.</w:t>
      </w:r>
    </w:p>
    <w:p>
      <w:pPr>
        <w:pStyle w:val="0"/>
        <w:spacing w:before="240" w:lineRule="auto"/>
        <w:ind w:firstLine="540"/>
        <w:jc w:val="both"/>
      </w:pPr>
      <w:r>
        <w:rPr>
          <w:sz w:val="24"/>
        </w:rPr>
        <w:t xml:space="preserve">Формирование лота таким образом не соответствует принципам конкуренции и эффективности закупки, ведет к отказу от участия заинтересованных лиц, способных выполнять работы лишь в части региона, и сокращает число потенциальных участников. По мнению ФАС России, данные действия нарушают </w:t>
      </w:r>
      <w:hyperlink w:history="0" r:id="rId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N 44-ФЗ и содержат признаки административного правонарушения по </w:t>
      </w:r>
      <w:hyperlink w:history="0" r:id="rId61"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части 5 статьи 7.30.1</w:t>
        </w:r>
      </w:hyperlink>
      <w:r>
        <w:rPr>
          <w:sz w:val="24"/>
        </w:rPr>
        <w:t xml:space="preserve"> КоАП (</w:t>
      </w:r>
      <w:hyperlink w:history="0" r:id="rId62" w:tooltip="Ссылка на КонсультантПлюс">
        <w:r>
          <w:rPr>
            <w:sz w:val="24"/>
            <w:color w:val="0000ff"/>
          </w:rPr>
          <w:t xml:space="preserve">решение</w:t>
        </w:r>
      </w:hyperlink>
      <w:r>
        <w:rPr>
          <w:sz w:val="24"/>
        </w:rPr>
        <w:t xml:space="preserve"> ФАС России от 25.09.2025 N 25/44/99/189).</w:t>
      </w:r>
    </w:p>
    <w:p>
      <w:pPr>
        <w:pStyle w:val="0"/>
        <w:spacing w:before="240" w:lineRule="auto"/>
        <w:ind w:firstLine="540"/>
        <w:jc w:val="both"/>
      </w:pPr>
      <w:r>
        <w:rPr>
          <w:sz w:val="24"/>
        </w:rPr>
        <w:t xml:space="preserve">Не согласившись с </w:t>
      </w:r>
      <w:hyperlink w:history="0" r:id="rId63" w:tooltip="Ссылка на КонсультантПлюс">
        <w:r>
          <w:rPr>
            <w:sz w:val="24"/>
            <w:color w:val="0000ff"/>
          </w:rPr>
          <w:t xml:space="preserve">решением</w:t>
        </w:r>
      </w:hyperlink>
      <w:r>
        <w:rPr>
          <w:sz w:val="24"/>
        </w:rPr>
        <w:t xml:space="preserve"> и </w:t>
      </w:r>
      <w:hyperlink w:history="0" r:id="rId64" w:tooltip="Ссылка на КонсультантПлюс">
        <w:r>
          <w:rPr>
            <w:sz w:val="24"/>
            <w:color w:val="0000ff"/>
          </w:rPr>
          <w:t xml:space="preserve">предписанием</w:t>
        </w:r>
      </w:hyperlink>
      <w:r>
        <w:rPr>
          <w:sz w:val="24"/>
        </w:rPr>
        <w:t xml:space="preserve">, Заявитель обратился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w:t>
      </w:r>
      <w:hyperlink w:history="0" r:id="rId65" w:tooltip="Ссылка на КонсультантПлюс">
        <w:r>
          <w:rPr>
            <w:sz w:val="24"/>
            <w:color w:val="0000ff"/>
          </w:rPr>
          <w:t xml:space="preserve">решение</w:t>
        </w:r>
      </w:hyperlink>
      <w:r>
        <w:rPr>
          <w:sz w:val="24"/>
        </w:rPr>
        <w:t xml:space="preserve"> ФАС России признано законными и обоснованными. В части доводов Заказчика отмечено:</w:t>
      </w:r>
    </w:p>
    <w:p>
      <w:pPr>
        <w:pStyle w:val="0"/>
        <w:spacing w:before="240" w:lineRule="auto"/>
        <w:ind w:firstLine="540"/>
        <w:jc w:val="both"/>
      </w:pPr>
      <w:r>
        <w:rPr>
          <w:sz w:val="24"/>
          <w:i w:val="on"/>
        </w:rPr>
        <w:t xml:space="preserve">"Изучив Извещение, суд приходит к выводу, что объединение Заказчиком в один лот выполнения Работ на территории всего субъекта Российской Федерации приводит к увеличению объема оказываемых услуг, начальной (максимальной) цены контракта, размера обеспечения заявки на участие в Конкурсе, а также стоимости выполненных работ по контракту (договору), представляемому участником Конкурса в соответствии с </w:t>
      </w:r>
      <w:hyperlink w:history="0" r:id="rId66"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i w:val="on"/>
          </w:rPr>
          <w:t xml:space="preserve">позицией 18 приложения</w:t>
        </w:r>
      </w:hyperlink>
      <w:r>
        <w:rPr>
          <w:sz w:val="24"/>
          <w:i w:val="on"/>
        </w:rPr>
        <w:t xml:space="preserve"> к Постановлению N 2571, налагает на участников закупки дополнительные финансовые обязательства и, как следствие, влечет ограничение количества потенциальных участников закупки.</w:t>
      </w:r>
    </w:p>
    <w:p>
      <w:pPr>
        <w:pStyle w:val="0"/>
        <w:spacing w:before="240" w:lineRule="auto"/>
        <w:ind w:firstLine="540"/>
        <w:jc w:val="both"/>
      </w:pPr>
      <w:r>
        <w:rPr>
          <w:sz w:val="24"/>
          <w:i w:val="on"/>
        </w:rPr>
        <w:t xml:space="preserve">...действия заказчика нивелируют цели законодательства о контрактной системе - открытости и прозрачности, экономии бюджетных средств и внебюджетных источников финансирования, равноправия участников размещения заказа и обеспечения их справедливой конкуренции.</w:t>
      </w:r>
    </w:p>
    <w:p>
      <w:pPr>
        <w:pStyle w:val="0"/>
        <w:spacing w:before="240" w:lineRule="auto"/>
        <w:ind w:firstLine="540"/>
        <w:jc w:val="both"/>
      </w:pPr>
      <w:r>
        <w:rPr>
          <w:sz w:val="24"/>
          <w:i w:val="on"/>
        </w:rPr>
        <w:t xml:space="preserve">Формирование лота по ремонту автомобильной дороги субъекта Российской Федерации подобным образом исключает возможность участия в торгах организаций, заинтересованных в выполнении государственного контракта только в одном участке, а также ограничивает доступ к участию в конкурсе субъектов малого и среднего предпринимательства.</w:t>
      </w:r>
    </w:p>
    <w:p>
      <w:pPr>
        <w:pStyle w:val="0"/>
        <w:spacing w:before="240" w:lineRule="auto"/>
        <w:ind w:firstLine="540"/>
        <w:jc w:val="both"/>
      </w:pPr>
      <w:r>
        <w:rPr>
          <w:sz w:val="24"/>
          <w:i w:val="on"/>
        </w:rPr>
        <w:t xml:space="preserve">Таким образом, сформированный Заказчиком, Уполномоченным органом лот не соответствует принципам обеспечения конкуренции и эффективности осуществления закупки, приводит к увеличению объема оказываемых услуг, начальной (максимальной) цены контракта, суммы обеспечения заявки, суммы обеспечения исполнения государственного контракта, а также цены исполненного договора, представляемого участниками Конкурса в соответствии с </w:t>
      </w:r>
      <w:hyperlink w:history="0" r:id="rId67"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i w:val="on"/>
          </w:rPr>
          <w:t xml:space="preserve">позицией 18 приложения</w:t>
        </w:r>
      </w:hyperlink>
      <w:r>
        <w:rPr>
          <w:sz w:val="24"/>
          <w:i w:val="on"/>
        </w:rPr>
        <w:t xml:space="preserve"> к Постановлению N 2571, что ведет к отказу от участия в Конкурсе заинтересованных лиц, имеющих возможность выполнения Работ".</w:t>
      </w:r>
    </w:p>
    <w:p>
      <w:pPr>
        <w:pStyle w:val="0"/>
        <w:spacing w:before="240" w:lineRule="auto"/>
        <w:ind w:firstLine="540"/>
        <w:jc w:val="both"/>
      </w:pPr>
      <w:r>
        <w:rPr>
          <w:sz w:val="24"/>
        </w:rPr>
        <w:t xml:space="preserve">(</w:t>
      </w:r>
      <w:hyperlink w:history="0" r:id="rId68" w:tooltip="Ссылка на КонсультантПлюс">
        <w:r>
          <w:rPr>
            <w:sz w:val="24"/>
            <w:color w:val="0000ff"/>
          </w:rPr>
          <w:t xml:space="preserve">Решение</w:t>
        </w:r>
      </w:hyperlink>
      <w:r>
        <w:rPr>
          <w:sz w:val="24"/>
        </w:rPr>
        <w:t xml:space="preserve"> Арбитражного суда города Москвы от 06.04.2026 по делу N А40-289802/25-147-2391)</w:t>
      </w:r>
    </w:p>
    <w:p>
      <w:pPr>
        <w:pStyle w:val="0"/>
        <w:jc w:val="both"/>
      </w:pPr>
      <w:r>
        <w:rPr>
          <w:sz w:val="24"/>
        </w:rPr>
      </w:r>
    </w:p>
    <w:p>
      <w:pPr>
        <w:pStyle w:val="2"/>
        <w:outlineLvl w:val="0"/>
        <w:ind w:firstLine="540"/>
        <w:jc w:val="both"/>
      </w:pPr>
      <w:r>
        <w:rPr>
          <w:sz w:val="24"/>
        </w:rPr>
        <w:t xml:space="preserve">4. Договор фрахтования судна на время (тайм-чартер) не подтверждает наличие на праве собственности или ином законном основании научно-исследовательского судна в ракурсе соответствия требованиям </w:t>
      </w:r>
      <w:hyperlink w:history="0" r:id="rId6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позиции 39</w:t>
        </w:r>
      </w:hyperlink>
      <w:r>
        <w:rPr>
          <w:sz w:val="24"/>
        </w:rPr>
        <w:t xml:space="preserve"> ПП РФ N 2571.</w:t>
      </w:r>
    </w:p>
    <w:p>
      <w:pPr>
        <w:pStyle w:val="0"/>
        <w:jc w:val="both"/>
      </w:pPr>
      <w:r>
        <w:rPr>
          <w:sz w:val="24"/>
        </w:rPr>
      </w:r>
    </w:p>
    <w:p>
      <w:pPr>
        <w:pStyle w:val="0"/>
        <w:ind w:firstLine="540"/>
        <w:jc w:val="both"/>
      </w:pPr>
      <w:r>
        <w:rPr>
          <w:sz w:val="24"/>
        </w:rPr>
        <w:t xml:space="preserve">В ФАС России поступила жалоба Общества на действия Заказчика, комиссии по осуществлению закупок при проведении открытого конкурса в электронной форме на право заключения контракта на проведение полевых и камеральных работ по региональному геологическому изучению недр по объекту "Создание региональной сети опорных геолого-геофизических профилей с целью изучения геологического строения, структуры и оценки перспектив нефтегазоносности осадочных бассейнов Японского моря" (номер извещения в единой информационной системе в сфере закупок </w:t>
      </w:r>
      <w:hyperlink w:history="0" r:id="rId70">
        <w:r>
          <w:rPr>
            <w:sz w:val="24"/>
            <w:color w:val="0000ff"/>
          </w:rPr>
          <w:t xml:space="preserve">www.zakupki.gov.ru</w:t>
        </w:r>
      </w:hyperlink>
      <w:r>
        <w:rPr>
          <w:sz w:val="24"/>
        </w:rPr>
        <w:t xml:space="preserve"> (далее - ЕИС) - 0373100135325000065) (далее также - Жалоба, Извещение, Конкурс, Работы).</w:t>
      </w:r>
    </w:p>
    <w:p>
      <w:pPr>
        <w:pStyle w:val="0"/>
        <w:spacing w:before="240" w:lineRule="auto"/>
        <w:ind w:firstLine="540"/>
        <w:jc w:val="both"/>
      </w:pPr>
      <w:r>
        <w:rPr>
          <w:sz w:val="24"/>
        </w:rPr>
        <w:t xml:space="preserve">Общество указало, что его права нарушены действиями комиссии по осуществлению закупок, которая:</w:t>
      </w:r>
    </w:p>
    <w:p>
      <w:pPr>
        <w:pStyle w:val="0"/>
        <w:spacing w:before="240" w:lineRule="auto"/>
        <w:ind w:firstLine="540"/>
        <w:jc w:val="both"/>
      </w:pPr>
      <w:r>
        <w:rPr>
          <w:sz w:val="24"/>
        </w:rPr>
        <w:t xml:space="preserve">1) неправомерно признала заявку победителя соответствующей дополнительным требованиям </w:t>
      </w:r>
      <w:hyperlink w:history="0" r:id="rId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31</w:t>
        </w:r>
      </w:hyperlink>
      <w:r>
        <w:rPr>
          <w:sz w:val="24"/>
        </w:rPr>
        <w:t xml:space="preserve"> Закона о контрактной системе;</w:t>
      </w:r>
    </w:p>
    <w:p>
      <w:pPr>
        <w:pStyle w:val="0"/>
        <w:spacing w:before="240" w:lineRule="auto"/>
        <w:ind w:firstLine="540"/>
        <w:jc w:val="both"/>
      </w:pPr>
      <w:r>
        <w:rPr>
          <w:sz w:val="24"/>
        </w:rPr>
        <w:t xml:space="preserve">2) ненадлежаще оценила заявку победителя по детализирующему показателю наличия оборудования.</w:t>
      </w:r>
    </w:p>
    <w:p>
      <w:pPr>
        <w:pStyle w:val="0"/>
        <w:spacing w:before="240" w:lineRule="auto"/>
        <w:ind w:firstLine="540"/>
        <w:jc w:val="both"/>
      </w:pPr>
      <w:r>
        <w:rPr>
          <w:sz w:val="24"/>
        </w:rPr>
        <w:t xml:space="preserve">В соответствии с </w:t>
      </w:r>
      <w:hyperlink w:history="0" r:id="rId7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3 части 6 статьи 43</w:t>
        </w:r>
      </w:hyperlink>
      <w:r>
        <w:rPr>
          <w:sz w:val="24"/>
        </w:rPr>
        <w:t xml:space="preserve"> Закона о контрактной системе документы, подтверждающие соответствие дополнительным требованиям, направляются оператором электронной площадки из реестра участников. Согласно </w:t>
      </w:r>
      <w:hyperlink w:history="0" r:id="rId73"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позиции 39</w:t>
        </w:r>
      </w:hyperlink>
      <w:r>
        <w:rPr>
          <w:sz w:val="24"/>
        </w:rPr>
        <w:t xml:space="preserve"> Постановления N 2571 к участникам закупки на геологическое изучение недр предъявляется дополнительное требование о наличии на праве собственности или ином законном основании на срок исполнения контракта оборудования, включая научно-исследовательское судно с необходимым геофизическим оборудованием.</w:t>
      </w:r>
    </w:p>
    <w:p>
      <w:pPr>
        <w:pStyle w:val="0"/>
        <w:spacing w:before="240" w:lineRule="auto"/>
        <w:ind w:firstLine="540"/>
        <w:jc w:val="both"/>
      </w:pPr>
      <w:r>
        <w:rPr>
          <w:sz w:val="24"/>
        </w:rPr>
        <w:t xml:space="preserve">Представители Общества заявили, что у победителя отсутствует такое судно на праве собственности или ином законном основании.</w:t>
      </w:r>
    </w:p>
    <w:p>
      <w:pPr>
        <w:pStyle w:val="0"/>
        <w:spacing w:before="240" w:lineRule="auto"/>
        <w:ind w:firstLine="540"/>
        <w:jc w:val="both"/>
      </w:pPr>
      <w:r>
        <w:rPr>
          <w:sz w:val="24"/>
        </w:rPr>
        <w:t xml:space="preserve">Комиссией ФАС установлено, что согласно </w:t>
      </w:r>
      <w:hyperlink w:history="0" r:id="rId74" w:tooltip="&quot;Кодекс торгового мореплавания Российской Федерации&quot; от 30.04.1999 N 81-ФЗ (ред. от 31.07.2025) {КонсультантПлюс}">
        <w:r>
          <w:rPr>
            <w:sz w:val="24"/>
            <w:color w:val="0000ff"/>
          </w:rPr>
          <w:t xml:space="preserve">пункту 2 статьи 15</w:t>
        </w:r>
      </w:hyperlink>
      <w:r>
        <w:rPr>
          <w:sz w:val="24"/>
        </w:rPr>
        <w:t xml:space="preserve"> Кодекса торгового мореплавания РФ право плавания под Государственным флагом РФ временно предоставляется судну, зарегистрированному в иностранном реестре и переданному российскому фрахтователю по договору фрахтования судна без экипажа (бербоут-чартеру). Победителем же представлен договор тайм-чартера (с экипажем), что не соответствует указанным требованиям.</w:t>
      </w:r>
    </w:p>
    <w:p>
      <w:pPr>
        <w:pStyle w:val="0"/>
        <w:spacing w:before="240" w:lineRule="auto"/>
        <w:ind w:firstLine="540"/>
        <w:jc w:val="both"/>
      </w:pPr>
      <w:r>
        <w:rPr>
          <w:sz w:val="24"/>
        </w:rPr>
        <w:t xml:space="preserve">Таким образом, действия комиссии закупки, признавшей заявку победителя соответствующей требованиям Извещения, нарушают </w:t>
      </w:r>
      <w:hyperlink w:history="0" r:id="rId7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11 статьи 48</w:t>
        </w:r>
      </w:hyperlink>
      <w:r>
        <w:rPr>
          <w:sz w:val="24"/>
        </w:rPr>
        <w:t xml:space="preserve"> Закона о контрактной системе и содержат признаки правонарушения по </w:t>
      </w:r>
      <w:hyperlink w:history="0" r:id="rId76"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части 7 статьи 7.30.1</w:t>
        </w:r>
      </w:hyperlink>
      <w:r>
        <w:rPr>
          <w:sz w:val="24"/>
        </w:rPr>
        <w:t xml:space="preserve"> КоАП РФ. Победителем не представлены документы, подтверждающие наличие научно-исследовательского судна на законном основании на срок исполнения контракта (</w:t>
      </w:r>
      <w:hyperlink w:history="0" r:id="rId77" w:tooltip="Ссылка на КонсультантПлюс">
        <w:r>
          <w:rPr>
            <w:sz w:val="24"/>
            <w:color w:val="0000ff"/>
          </w:rPr>
          <w:t xml:space="preserve">решение</w:t>
        </w:r>
      </w:hyperlink>
      <w:r>
        <w:rPr>
          <w:sz w:val="24"/>
        </w:rPr>
        <w:t xml:space="preserve"> ФАС России от 09.10.2025 N 28/06/105-4217/2025).</w:t>
      </w:r>
    </w:p>
    <w:p>
      <w:pPr>
        <w:pStyle w:val="0"/>
        <w:spacing w:before="240" w:lineRule="auto"/>
        <w:ind w:firstLine="540"/>
        <w:jc w:val="both"/>
      </w:pPr>
      <w:r>
        <w:rPr>
          <w:sz w:val="24"/>
        </w:rPr>
        <w:t xml:space="preserve">Заказчик, не согласившись с </w:t>
      </w:r>
      <w:hyperlink w:history="0" r:id="rId78" w:tooltip="Ссылка на КонсультантПлюс">
        <w:r>
          <w:rPr>
            <w:sz w:val="24"/>
            <w:color w:val="0000ff"/>
          </w:rPr>
          <w:t xml:space="preserve">Решением</w:t>
        </w:r>
      </w:hyperlink>
      <w:r>
        <w:rPr>
          <w:sz w:val="24"/>
        </w:rPr>
        <w:t xml:space="preserve"> ФАС России, обжаловал его в Арбитражный суд города Москвы.</w:t>
      </w:r>
    </w:p>
    <w:p>
      <w:pPr>
        <w:pStyle w:val="0"/>
        <w:spacing w:before="240" w:lineRule="auto"/>
        <w:ind w:firstLine="540"/>
        <w:jc w:val="both"/>
      </w:pPr>
      <w:r>
        <w:rPr>
          <w:sz w:val="24"/>
        </w:rPr>
        <w:t xml:space="preserve">Девятый арбитражный апелляционный суд, оставляя в силе </w:t>
      </w:r>
      <w:hyperlink w:history="0" r:id="rId79" w:tooltip="Ссылка на КонсультантПлюс">
        <w:r>
          <w:rPr>
            <w:sz w:val="24"/>
            <w:color w:val="0000ff"/>
          </w:rPr>
          <w:t xml:space="preserve">решение</w:t>
        </w:r>
      </w:hyperlink>
      <w:r>
        <w:rPr>
          <w:sz w:val="24"/>
        </w:rPr>
        <w:t xml:space="preserve"> суда первой инстанции, пришел к следующим выводам:</w:t>
      </w:r>
    </w:p>
    <w:p>
      <w:pPr>
        <w:pStyle w:val="0"/>
        <w:spacing w:before="240" w:lineRule="auto"/>
        <w:ind w:firstLine="540"/>
        <w:jc w:val="both"/>
      </w:pPr>
      <w:r>
        <w:rPr>
          <w:sz w:val="24"/>
          <w:i w:val="on"/>
        </w:rPr>
        <w:t xml:space="preserve">"...представленный в составе конкурсной документации договор не подтверждает наличия у победителя на праве собственности или ином законном основании научно-исследовательского судна, поскольку согласно </w:t>
      </w:r>
      <w:hyperlink w:history="0" r:id="rId80" w:tooltip="&quot;Кодекс торгового мореплавания Российской Федерации&quot; от 30.04.1999 N 81-ФЗ (ред. от 31.07.2025) {КонсультантПлюс}">
        <w:r>
          <w:rPr>
            <w:sz w:val="24"/>
            <w:color w:val="0000ff"/>
            <w:i w:val="on"/>
          </w:rPr>
          <w:t xml:space="preserve">пункту 1 статьи 4</w:t>
        </w:r>
      </w:hyperlink>
      <w:r>
        <w:rPr>
          <w:sz w:val="24"/>
          <w:i w:val="on"/>
        </w:rPr>
        <w:t xml:space="preserve"> Кодекса торгового мореплавания Российской Федерации от 30.04.1999 N 81-ФЗ (далее - Кодекс) с использованием судов, плавающих под Государственным флагом Российской Федерации, осуществляются морские ресурсные исследования, разведка и разработка минеральных ресурсов морского дна и его недр во внутренних морских водах и (или) в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w:t>
      </w:r>
    </w:p>
    <w:p>
      <w:pPr>
        <w:pStyle w:val="0"/>
        <w:spacing w:before="240" w:lineRule="auto"/>
        <w:ind w:firstLine="540"/>
        <w:jc w:val="both"/>
      </w:pPr>
      <w:r>
        <w:rPr>
          <w:sz w:val="24"/>
          <w:i w:val="on"/>
        </w:rPr>
        <w:t xml:space="preserve">...несмотря на наличие в законодательстве механизма временного предоставления флага, его применение возможно только при заключении определенного вида договора (бербоут-чартера), который в данном случае не заключался.</w:t>
      </w:r>
    </w:p>
    <w:p>
      <w:pPr>
        <w:pStyle w:val="0"/>
        <w:spacing w:before="240" w:lineRule="auto"/>
        <w:ind w:firstLine="540"/>
        <w:jc w:val="both"/>
      </w:pPr>
      <w:r>
        <w:rPr>
          <w:sz w:val="24"/>
          <w:i w:val="on"/>
        </w:rPr>
        <w:t xml:space="preserve">На основании изложенного апелляционная коллегия соглашается с выводом суда первой инстанции, что </w:t>
      </w:r>
      <w:hyperlink w:history="0" r:id="rId81" w:tooltip="Ссылка на КонсультантПлюс">
        <w:r>
          <w:rPr>
            <w:sz w:val="24"/>
            <w:color w:val="0000ff"/>
            <w:i w:val="on"/>
          </w:rPr>
          <w:t xml:space="preserve">решение</w:t>
        </w:r>
      </w:hyperlink>
      <w:r>
        <w:rPr>
          <w:sz w:val="24"/>
          <w:i w:val="on"/>
        </w:rPr>
        <w:t xml:space="preserve"> и </w:t>
      </w:r>
      <w:hyperlink w:history="0" r:id="rId82" w:tooltip="Ссылка на КонсультантПлюс">
        <w:r>
          <w:rPr>
            <w:sz w:val="24"/>
            <w:color w:val="0000ff"/>
            <w:i w:val="on"/>
          </w:rPr>
          <w:t xml:space="preserve">предписание</w:t>
        </w:r>
      </w:hyperlink>
      <w:r>
        <w:rPr>
          <w:sz w:val="24"/>
          <w:i w:val="on"/>
        </w:rPr>
        <w:t xml:space="preserve"> антимонопольного органа приняты с соблюдением норм </w:t>
      </w:r>
      <w:hyperlink w:history="0" r:id="rId8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Закона</w:t>
        </w:r>
      </w:hyperlink>
      <w:r>
        <w:rPr>
          <w:sz w:val="24"/>
          <w:i w:val="on"/>
        </w:rPr>
        <w:t xml:space="preserve"> о контрактной системе, в пределах компетенции антимонопольного органа, не нарушают права и законные интересы заявителя в сфере предпринимательской и иной экономической деятельности".</w:t>
      </w:r>
    </w:p>
    <w:p>
      <w:pPr>
        <w:pStyle w:val="0"/>
        <w:spacing w:before="240" w:lineRule="auto"/>
        <w:ind w:firstLine="540"/>
        <w:jc w:val="both"/>
      </w:pPr>
      <w:r>
        <w:rPr>
          <w:sz w:val="24"/>
        </w:rPr>
        <w:t xml:space="preserve">(</w:t>
      </w:r>
      <w:hyperlink w:history="0" r:id="rId84" w:tooltip="Постановление Девятого арбитражного апелляционного суда от 27.04.2026 N 09АП-14392/2026 по делу N А40-300717/2025 Категория: Споры в сфере закупок для государственных и муниципальных нужд. Требования заказчика: О признании недействительным акта о нарушении процедуры и результатов рассмотрения конкурсных заявок. Обстоятельства: Оспариваемым решением в действиях заказчика установлено нарушение законодательства о контрактной системе в сфере закупок при проведении в электронной форме открытого конкурса на право {КонсультантПлюс}">
        <w:r>
          <w:rPr>
            <w:sz w:val="24"/>
            <w:color w:val="0000ff"/>
          </w:rPr>
          <w:t xml:space="preserve">Постановление</w:t>
        </w:r>
      </w:hyperlink>
      <w:r>
        <w:rPr>
          <w:sz w:val="24"/>
        </w:rPr>
        <w:t xml:space="preserve"> Девятого арбитражного апелляционного суда от 27.04.2026 N 09АП-14392/2026 по делу N А40-300717/25)</w:t>
      </w:r>
    </w:p>
    <w:p>
      <w:pPr>
        <w:pStyle w:val="0"/>
        <w:jc w:val="both"/>
      </w:pPr>
      <w:r>
        <w:rPr>
          <w:sz w:val="24"/>
        </w:rPr>
      </w:r>
    </w:p>
    <w:p>
      <w:pPr>
        <w:pStyle w:val="2"/>
        <w:outlineLvl w:val="0"/>
        <w:ind w:firstLine="540"/>
        <w:jc w:val="both"/>
      </w:pPr>
      <w:r>
        <w:rPr>
          <w:sz w:val="24"/>
        </w:rPr>
        <w:t xml:space="preserve">5. Отсутствие сведений в реестре договоров не является фактом отсутствия у участника закупки опыта выполнения работ, связанных с предметом договора.</w:t>
      </w:r>
    </w:p>
    <w:p>
      <w:pPr>
        <w:pStyle w:val="0"/>
        <w:jc w:val="both"/>
      </w:pPr>
      <w:r>
        <w:rPr>
          <w:sz w:val="24"/>
        </w:rPr>
      </w:r>
    </w:p>
    <w:p>
      <w:pPr>
        <w:pStyle w:val="0"/>
        <w:ind w:firstLine="540"/>
        <w:jc w:val="both"/>
      </w:pPr>
      <w:r>
        <w:rPr>
          <w:sz w:val="24"/>
        </w:rPr>
        <w:t xml:space="preserve">В ФАС России поступила жалоба Общества на действия комиссии по осуществлению закупок при проведении Заказчиком, уполномоченным органом, комиссией по осуществлению закупок, оператором электронной площадки открытого конкурса в электронной форме на право заключения контракта на выполнение работ по ремонту участков автомобильных дорог общего пользовании межмуниципального значения в муниципальном округе Перевозский и Вадском муниципальном округе Нижегородской области (номер извещения в единой информационной системе в сфере закупок </w:t>
      </w:r>
      <w:hyperlink w:history="0" r:id="rId85">
        <w:r>
          <w:rPr>
            <w:sz w:val="24"/>
            <w:color w:val="0000ff"/>
          </w:rPr>
          <w:t xml:space="preserve">www.zakupki.gov.ru</w:t>
        </w:r>
      </w:hyperlink>
      <w:r>
        <w:rPr>
          <w:sz w:val="24"/>
        </w:rPr>
        <w:t xml:space="preserve"> (далее - ЕИС) - 0832200006625000324) (далее - Конкурс, Извещение).</w:t>
      </w:r>
    </w:p>
    <w:p>
      <w:pPr>
        <w:pStyle w:val="0"/>
        <w:spacing w:before="240" w:lineRule="auto"/>
        <w:ind w:firstLine="540"/>
        <w:jc w:val="both"/>
      </w:pPr>
      <w:hyperlink w:history="0" r:id="rId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8 статьи 32</w:t>
        </w:r>
      </w:hyperlink>
      <w:r>
        <w:rPr>
          <w:sz w:val="24"/>
        </w:rPr>
        <w:t xml:space="preserve"> Закона о контрактной системе установлено, что порядок оценки заявок участников закупки, в том числе предельные величины значимости каждого критерия, устанавливается </w:t>
      </w:r>
      <w:hyperlink w:history="0" r:id="rId87"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Положением</w:t>
        </w:r>
      </w:hyperlink>
      <w:r>
        <w:rPr>
          <w:sz w:val="24"/>
        </w:rPr>
        <w:t xml:space="preserve"> об оценке заявок на участие в закупке товаров, работ, услуг для обеспечения государственных и муниципальных нужд, утвержденным Постановлением Правительства Российской Федерации от 31.12.2021 N 2604 (далее - Постановление N 2604).</w:t>
      </w:r>
    </w:p>
    <w:p>
      <w:pPr>
        <w:pStyle w:val="0"/>
        <w:spacing w:before="240" w:lineRule="auto"/>
        <w:ind w:firstLine="540"/>
        <w:jc w:val="both"/>
      </w:pPr>
      <w:hyperlink w:history="0" r:id="rId88"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N 2604 предусмотрено установление критерия оценки заявок участников закупки "Квалификация участников закупки" (далее - Критерий оценки), для оценки заявок по которому может применяться показатель оценки "Наличие у участников закупки опыта поставки товара, выполнения работы, оказания услуги, связанного с предметом контракта" (далее - Показатель оценки). В случае применения Показателя оценки предусмотрено установление одного или нескольких из следующих детализирующих показателей оценки: "Общая цена исполненных участником закупки договоров", "Общее количество исполненных участником закупки договоров", "Наибольшая цена одного из исполненных участником закупки договоров".</w:t>
      </w:r>
    </w:p>
    <w:p>
      <w:pPr>
        <w:pStyle w:val="0"/>
        <w:spacing w:before="240" w:lineRule="auto"/>
        <w:ind w:firstLine="540"/>
        <w:jc w:val="both"/>
      </w:pPr>
      <w:r>
        <w:rPr>
          <w:sz w:val="24"/>
        </w:rPr>
        <w:t xml:space="preserve">Так, в порядке рассмотрения и оценки заявок на участие в Конкурсе (далее - Порядок оценки) установлен детализирующий показатель "Наибольшая цена одного из исполненных участником закупки договоров" (далее - Детализирующий показатель) Показателя оценки Критерия оценки заявок участников Конкурса. Согласно Детализирующему показателю к оценке принимаются исключительно исполненный контракт и (или) договор, предусматривающий выполнение работ по ремонту, содержанию, капитальному ремонту, строительству, реконструкции автомобильной дороги.</w:t>
      </w:r>
    </w:p>
    <w:p>
      <w:pPr>
        <w:pStyle w:val="0"/>
        <w:spacing w:before="240" w:lineRule="auto"/>
        <w:ind w:firstLine="540"/>
        <w:jc w:val="both"/>
      </w:pPr>
      <w:r>
        <w:rPr>
          <w:sz w:val="24"/>
        </w:rPr>
        <w:t xml:space="preserve">Комиссией ФАС России установлено, что в качестве подтверждения наличия опыта по Детализирующему показателю Критерия Обществом в составе заявки представлен один договор - договор на выполнение комплекса работ по проектированию и строительству объекта "М-12 "Строящаяся скоростная автомобильная дорога Москва - Нижний Новгород - Казань", 4-й этап км 224 - км 347, Владимирская, Нижегородская области...", заключенный между ГК "Автодор" и Обществом на сумму в размере 99 474 024 486,85 руб. (далее - Договор).</w:t>
      </w:r>
    </w:p>
    <w:p>
      <w:pPr>
        <w:pStyle w:val="0"/>
        <w:spacing w:before="240" w:lineRule="auto"/>
        <w:ind w:firstLine="540"/>
        <w:jc w:val="both"/>
      </w:pPr>
      <w:r>
        <w:rPr>
          <w:sz w:val="24"/>
        </w:rPr>
        <w:t xml:space="preserve">Комиссией по осуществлению закупок Договор к оценке не принят, поскольку не исполнен в полном объеме, так как в реестре контрактов размещены документы в отношении Договора на сумму меньшую, чем цена Договора, что не позволило комиссии по осуществлению закупок однозначно установить факт полного исполнения обязательств по такому Договору.</w:t>
      </w:r>
    </w:p>
    <w:p>
      <w:pPr>
        <w:pStyle w:val="0"/>
        <w:spacing w:before="240" w:lineRule="auto"/>
        <w:ind w:firstLine="540"/>
        <w:jc w:val="both"/>
      </w:pPr>
      <w:r>
        <w:rPr>
          <w:sz w:val="24"/>
        </w:rPr>
        <w:t xml:space="preserve">Так, в Порядке оценки содержится условие, что в перечень документов, подтверждающих наличие у участника закупки опыта выполнения работ, связанных с предметом контракта (строительство, реконструкция автомобильной дороги), входят исполненный договор,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pPr>
        <w:pStyle w:val="0"/>
        <w:spacing w:before="240" w:lineRule="auto"/>
        <w:ind w:firstLine="540"/>
        <w:jc w:val="both"/>
      </w:pPr>
      <w:r>
        <w:rPr>
          <w:sz w:val="24"/>
        </w:rPr>
        <w:t xml:space="preserve">При этом Комиссия ФАС России, изучив заявку Общества, пришла к выводу, что Договор соответствует требованиям Порядка оценки: </w:t>
      </w:r>
      <w:r>
        <w:rPr>
          <w:sz w:val="24"/>
          <w:i w:val="on"/>
        </w:rPr>
        <w:t xml:space="preserve">"Обществом представлены все документы, подтверждающие выполнение работ по проектированию, предусмотренных Договором, акты о приемке выполненных работ по строительству объекта вместе со справками о стоимости выполненных работ, а также акты приемочной комиссии о приемке в эксплуатацию объекта и разрешения на ввод объектов в эксплуатацию"</w:t>
      </w:r>
      <w:r>
        <w:rPr>
          <w:sz w:val="24"/>
        </w:rPr>
        <w:t xml:space="preserve">.</w:t>
      </w:r>
    </w:p>
    <w:p>
      <w:pPr>
        <w:pStyle w:val="0"/>
        <w:spacing w:before="240" w:lineRule="auto"/>
        <w:ind w:firstLine="540"/>
        <w:jc w:val="both"/>
      </w:pPr>
      <w:r>
        <w:rPr>
          <w:sz w:val="24"/>
        </w:rPr>
        <w:t xml:space="preserve">ФАС России отметила, что Обществом в составе заявки представлена не реестровая запись из реестра договоров, а непосредственно документы, предусмотренные Порядком оценки. Следовательно, у комиссии по осуществлению закупок отсутствовали основания для сверки документов, представленных в составе заявки Общества, с информацией, размещенной в реестре договоров в Единой информационной системе в сфере закупок.</w:t>
      </w:r>
    </w:p>
    <w:p>
      <w:pPr>
        <w:pStyle w:val="0"/>
        <w:spacing w:before="240" w:lineRule="auto"/>
        <w:ind w:firstLine="540"/>
        <w:jc w:val="both"/>
      </w:pPr>
      <w:r>
        <w:rPr>
          <w:sz w:val="24"/>
        </w:rPr>
        <w:t xml:space="preserve">Соответственно, информация, отраженная в реестре договоров, не может являться безусловным основанием для вывода об исполнении либо неисполнении участником закупки обязательств по договору, по которому такой участник являлся поставщиком (подрядчиком, исполнителем), без анализа содержания полного перечня документов, представленного участником в составе своей заявки для подтверждения наличия опыта выполнения работ, связанных с предметом контракта.</w:t>
      </w:r>
    </w:p>
    <w:p>
      <w:pPr>
        <w:pStyle w:val="0"/>
        <w:spacing w:before="240" w:lineRule="auto"/>
        <w:ind w:firstLine="540"/>
        <w:jc w:val="both"/>
      </w:pPr>
      <w:r>
        <w:rPr>
          <w:sz w:val="24"/>
        </w:rPr>
        <w:t xml:space="preserve">Из совокупного толкования действующего законодательства, в том числе </w:t>
      </w:r>
      <w:hyperlink w:history="0" r:id="rId89"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N 2604, следует, что законодатель ставит вопрос исполнения государственного контракта/договора в зависимость от наличия определенных документов (акт приемки, разрешение на ввод в эксплуатацию и т.д.), которые могут быть не размещены в реестре договоров, но могут быть представлены участником в составе его заявки на участие в закупке.</w:t>
      </w:r>
    </w:p>
    <w:p>
      <w:pPr>
        <w:pStyle w:val="0"/>
        <w:spacing w:before="240" w:lineRule="auto"/>
        <w:ind w:firstLine="540"/>
        <w:jc w:val="both"/>
      </w:pPr>
      <w:r>
        <w:rPr>
          <w:sz w:val="24"/>
        </w:rPr>
        <w:t xml:space="preserve">По результатам рассмотрения жалобы, а также проведения внеплановой проверки Комиссией ФАС России принято </w:t>
      </w:r>
      <w:hyperlink w:history="0" r:id="rId90" w:tooltip="Ссылка на КонсультантПлюс">
        <w:r>
          <w:rPr>
            <w:sz w:val="24"/>
            <w:color w:val="0000ff"/>
          </w:rPr>
          <w:t xml:space="preserve">решение</w:t>
        </w:r>
      </w:hyperlink>
      <w:r>
        <w:rPr>
          <w:sz w:val="24"/>
        </w:rPr>
        <w:t xml:space="preserve"> от 14.05.2025 по делу N 28/06/105-2657/2025, согласно которому в действиях комиссии по осуществлению закупок выявлено нарушение </w:t>
      </w:r>
      <w:hyperlink w:history="0" r:id="rId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"б" пункта 1 части 11 статьи 48</w:t>
        </w:r>
      </w:hyperlink>
      <w:r>
        <w:rPr>
          <w:sz w:val="24"/>
        </w:rPr>
        <w:t xml:space="preserve"> Закона о контрактной системе. Кроме того, Комиссией ФАС России выдано </w:t>
      </w:r>
      <w:hyperlink w:history="0" r:id="rId92" w:tooltip="Ссылка на КонсультантПлюс">
        <w:r>
          <w:rPr>
            <w:sz w:val="24"/>
            <w:color w:val="0000ff"/>
          </w:rPr>
          <w:t xml:space="preserve">предписание</w:t>
        </w:r>
      </w:hyperlink>
      <w:r>
        <w:rPr>
          <w:sz w:val="24"/>
        </w:rPr>
        <w:t xml:space="preserve"> ФАС России от 14.05.2025 по делу N 28/06/105-2657/2025 (далее - Предписание ФАС России).</w:t>
      </w:r>
    </w:p>
    <w:p>
      <w:pPr>
        <w:pStyle w:val="0"/>
        <w:spacing w:before="240" w:lineRule="auto"/>
        <w:ind w:firstLine="540"/>
        <w:jc w:val="both"/>
      </w:pPr>
      <w:r>
        <w:rPr>
          <w:sz w:val="24"/>
        </w:rPr>
        <w:t xml:space="preserve">Не согласившись с </w:t>
      </w:r>
      <w:hyperlink w:history="0" r:id="rId93" w:tooltip="Ссылка на КонсультантПлюс">
        <w:r>
          <w:rPr>
            <w:sz w:val="24"/>
            <w:color w:val="0000ff"/>
          </w:rPr>
          <w:t xml:space="preserve">Решением</w:t>
        </w:r>
      </w:hyperlink>
      <w:r>
        <w:rPr>
          <w:sz w:val="24"/>
        </w:rPr>
        <w:t xml:space="preserve"> и </w:t>
      </w:r>
      <w:hyperlink w:history="0" r:id="rId94" w:tooltip="Ссылка на КонсультантПлюс">
        <w:r>
          <w:rPr>
            <w:sz w:val="24"/>
            <w:color w:val="0000ff"/>
          </w:rPr>
          <w:t xml:space="preserve">Предписанием</w:t>
        </w:r>
      </w:hyperlink>
      <w:r>
        <w:rPr>
          <w:sz w:val="24"/>
        </w:rPr>
        <w:t xml:space="preserve"> ФАС России, Заказчик обжаловал их в судебном порядке. Заказчик, не согласившись с </w:t>
      </w:r>
      <w:hyperlink w:history="0" r:id="rId95" w:tooltip="Ссылка на КонсультантПлюс">
        <w:r>
          <w:rPr>
            <w:sz w:val="24"/>
            <w:color w:val="0000ff"/>
          </w:rPr>
          <w:t xml:space="preserve">Решением</w:t>
        </w:r>
      </w:hyperlink>
      <w:r>
        <w:rPr>
          <w:sz w:val="24"/>
        </w:rPr>
        <w:t xml:space="preserve"> ФАС России, обжаловал его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w:t>
      </w:r>
      <w:hyperlink w:history="0" r:id="rId96" w:tooltip="Ссылка на КонсультантПлюс">
        <w:r>
          <w:rPr>
            <w:sz w:val="24"/>
            <w:color w:val="0000ff"/>
          </w:rPr>
          <w:t xml:space="preserve">Решение</w:t>
        </w:r>
      </w:hyperlink>
      <w:r>
        <w:rPr>
          <w:sz w:val="24"/>
        </w:rPr>
        <w:t xml:space="preserve"> ФАС России признано законным и обоснованным.</w:t>
      </w:r>
    </w:p>
    <w:p>
      <w:pPr>
        <w:pStyle w:val="0"/>
        <w:spacing w:before="240" w:lineRule="auto"/>
        <w:ind w:firstLine="540"/>
        <w:jc w:val="both"/>
      </w:pPr>
      <w:hyperlink w:history="0" r:id="rId97" w:tooltip="Постановление Девятого арбитражного апелляционного суда от 27.04.2026 N 09АП-65386/2025 по делу N А40-140034/2025 Категория: Споры в сфере закупок для государственных и муниципальных нужд. Требования заказчика: О признании недействительными акта о нарушениях процедуры и результатов рассмотрения конкурсных заявок. Обстоятельства: Заявителем не представлено доказательств фактического нарушения его прав. Решение: Отказано. {КонсультантПлюс}">
        <w:r>
          <w:rPr>
            <w:sz w:val="24"/>
            <w:color w:val="0000ff"/>
          </w:rPr>
          <w:t xml:space="preserve">Постановлением</w:t>
        </w:r>
      </w:hyperlink>
      <w:r>
        <w:rPr>
          <w:sz w:val="24"/>
        </w:rPr>
        <w:t xml:space="preserve"> Девятого апелляционного арбитражного суда </w:t>
      </w:r>
      <w:hyperlink w:history="0" r:id="rId98" w:tooltip="Ссылка на КонсультантПлюс">
        <w:r>
          <w:rPr>
            <w:sz w:val="24"/>
            <w:color w:val="0000ff"/>
          </w:rPr>
          <w:t xml:space="preserve">решение</w:t>
        </w:r>
      </w:hyperlink>
      <w:r>
        <w:rPr>
          <w:sz w:val="24"/>
        </w:rPr>
        <w:t xml:space="preserve"> Арбитражного суда города Москвы от 01.08.2025 по делу N А40-140034/2025 оставлено без изменения.</w:t>
      </w:r>
    </w:p>
    <w:p>
      <w:pPr>
        <w:pStyle w:val="0"/>
        <w:spacing w:before="240" w:lineRule="auto"/>
        <w:ind w:firstLine="540"/>
        <w:jc w:val="both"/>
      </w:pPr>
      <w:r>
        <w:rPr>
          <w:sz w:val="24"/>
        </w:rPr>
        <w:t xml:space="preserve">В части доводов Заказчика отмечено:</w:t>
      </w:r>
    </w:p>
    <w:p>
      <w:pPr>
        <w:pStyle w:val="0"/>
        <w:spacing w:before="240" w:lineRule="auto"/>
        <w:ind w:firstLine="540"/>
        <w:jc w:val="both"/>
      </w:pPr>
      <w:r>
        <w:rPr>
          <w:sz w:val="24"/>
          <w:i w:val="on"/>
        </w:rPr>
        <w:t xml:space="preserve">"...обязанность по размещению в ЕИС информации об исполнении государственного контракта/договора в силу действующего законодательства (</w:t>
      </w:r>
      <w:hyperlink w:history="0" r:id="rId9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пункт 8 части 13 статьи 94</w:t>
        </w:r>
      </w:hyperlink>
      <w:r>
        <w:rPr>
          <w:sz w:val="24"/>
          <w:i w:val="on"/>
        </w:rPr>
        <w:t xml:space="preserve"> Закона о контрактной системе), в том числе документа о приемке, возложена на заказчика, следовательно, вопрос квалификации контракта/договора в качестве исполненного не может ставиться в зависимость от действий заказчика.</w:t>
      </w:r>
    </w:p>
    <w:p>
      <w:pPr>
        <w:pStyle w:val="0"/>
        <w:spacing w:before="240" w:lineRule="auto"/>
        <w:ind w:firstLine="540"/>
        <w:jc w:val="both"/>
      </w:pPr>
      <w:r>
        <w:rPr>
          <w:sz w:val="24"/>
          <w:i w:val="on"/>
        </w:rPr>
        <w:t xml:space="preserve">Иное трактование ведет к ситуации, в которой добросовестный участник закупки, исполнивший контракт/договор в полном объеме, не будет иметь опыта, требуемого соответствующей позицией </w:t>
      </w:r>
      <w:hyperlink w:history="0" r:id="rId100"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i w:val="on"/>
          </w:rPr>
          <w:t xml:space="preserve">Постановления</w:t>
        </w:r>
      </w:hyperlink>
      <w:r>
        <w:rPr>
          <w:sz w:val="24"/>
          <w:i w:val="on"/>
        </w:rPr>
        <w:t xml:space="preserve"> N 2571 или Порядком оценки, в том случае, если заказчик не разместит вовремя информацию о его исполнении в ЕИС...</w:t>
      </w:r>
    </w:p>
    <w:p>
      <w:pPr>
        <w:pStyle w:val="0"/>
        <w:spacing w:before="240" w:lineRule="auto"/>
        <w:ind w:firstLine="540"/>
        <w:jc w:val="both"/>
      </w:pPr>
      <w:r>
        <w:rPr>
          <w:sz w:val="24"/>
          <w:i w:val="on"/>
        </w:rPr>
        <w:t xml:space="preserve">...формальный подход Комиссии по осуществлению закупок влечет ущемление прав наиболее квалифицированного участника закупки, имеющего действительный опыт выполнения работ, сопоставимых предмету Конкурса".</w:t>
      </w:r>
    </w:p>
    <w:p>
      <w:pPr>
        <w:pStyle w:val="0"/>
        <w:spacing w:before="240" w:lineRule="auto"/>
        <w:ind w:firstLine="540"/>
        <w:jc w:val="both"/>
      </w:pPr>
      <w:r>
        <w:rPr>
          <w:sz w:val="24"/>
        </w:rPr>
        <w:t xml:space="preserve">(</w:t>
      </w:r>
      <w:hyperlink w:history="0" r:id="rId101" w:tooltip="Постановление Девятого арбитражного апелляционного суда от 27.04.2026 N 09АП-65386/2025 по делу N А40-140034/2025 Категория: Споры в сфере закупок для государственных и муниципальных нужд. Требования заказчика: О признании недействительными акта о нарушениях процедуры и результатов рассмотрения конкурсных заявок. Обстоятельства: Заявителем не представлено доказательств фактического нарушения его прав. Решение: Отказано. {КонсультантПлюс}">
        <w:r>
          <w:rPr>
            <w:sz w:val="24"/>
            <w:color w:val="0000ff"/>
          </w:rPr>
          <w:t xml:space="preserve">Постановление</w:t>
        </w:r>
      </w:hyperlink>
      <w:r>
        <w:rPr>
          <w:sz w:val="24"/>
        </w:rPr>
        <w:t xml:space="preserve"> Девятого арбитражного апелляционного суда от 27.04.2026 N 09АП-65386/2025 по делу N А40-140034/2025)</w:t>
      </w:r>
    </w:p>
    <w:p>
      <w:pPr>
        <w:pStyle w:val="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судебной практики в сфере закупок для государственных и муниципальных нужд (апрель 2026 года)"</w:t>
            <w:br/>
            <w:t>(Управление контро...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2.wmf"/><Relationship Id="rId9" Type="http://schemas.openxmlformats.org/officeDocument/2006/relationships/hyperlink" Target="https://login.consultant.ru/link/?req=doc&amp;base=LAW&amp;n=495181&amp;date=29.08.2026&amp;dst=2345&amp;field=134" TargetMode = "External"/><Relationship Id="rId10" Type="http://schemas.openxmlformats.org/officeDocument/2006/relationships/hyperlink" Target="https://login.consultant.ru/link/?req=doc&amp;base=LAW&amp;n=507888&amp;date=29.08.2026&amp;dst=100006&amp;field=134" TargetMode = "External"/><Relationship Id="rId11" Type="http://schemas.openxmlformats.org/officeDocument/2006/relationships/hyperlink" Target="https://login.consultant.ru/link/?req=doc&amp;base=LAW&amp;n=507888&amp;date=29.08.2026&amp;dst=100016&amp;field=134" TargetMode = "External"/><Relationship Id="rId12" Type="http://schemas.openxmlformats.org/officeDocument/2006/relationships/hyperlink" Target="https://login.consultant.ru/link/?req=doc&amp;base=LAW&amp;n=507888&amp;date=29.08.2026&amp;dst=100443&amp;field=134" TargetMode = "External"/><Relationship Id="rId13" Type="http://schemas.openxmlformats.org/officeDocument/2006/relationships/hyperlink" Target="https://login.consultant.ru/link/?req=doc&amp;base=LAW&amp;n=507888&amp;date=29.08.2026&amp;dst=100226&amp;field=134" TargetMode = "External"/><Relationship Id="rId14" Type="http://schemas.openxmlformats.org/officeDocument/2006/relationships/hyperlink" Target="https://login.consultant.ru/link/?req=doc&amp;base=LAW&amp;n=495181&amp;date=29.08.2026" TargetMode = "External"/><Relationship Id="rId15" Type="http://schemas.openxmlformats.org/officeDocument/2006/relationships/hyperlink" Target="https://login.consultant.ru/link/?req=doc&amp;base=LAW&amp;n=495181&amp;date=29.08.2026&amp;dst=2527&amp;field=134" TargetMode = "External"/><Relationship Id="rId16" Type="http://schemas.openxmlformats.org/officeDocument/2006/relationships/hyperlink" Target="https://login.consultant.ru/link/?req=doc&amp;base=PAS&amp;n=1058876&amp;date=29.08.2026" TargetMode = "External"/><Relationship Id="rId17" Type="http://schemas.openxmlformats.org/officeDocument/2006/relationships/hyperlink" Target="https://login.consultant.ru/link/?req=doc&amp;base=LAW&amp;n=495181&amp;date=29.08.2026&amp;dst=2592&amp;field=134" TargetMode = "External"/><Relationship Id="rId18" Type="http://schemas.openxmlformats.org/officeDocument/2006/relationships/hyperlink" Target="https://login.consultant.ru/link/?req=doc&amp;base=PAS&amp;n=1058876&amp;date=29.08.2026" TargetMode = "External"/><Relationship Id="rId19" Type="http://schemas.openxmlformats.org/officeDocument/2006/relationships/hyperlink" Target="https://login.consultant.ru/link/?req=doc&amp;base=PAS&amp;n=1058876&amp;date=29.08.2026" TargetMode = "External"/><Relationship Id="rId20" Type="http://schemas.openxmlformats.org/officeDocument/2006/relationships/hyperlink" Target="https://login.consultant.ru/link/?req=doc&amp;base=MARB&amp;n=3140737&amp;date=29.08.2026" TargetMode = "External"/><Relationship Id="rId21" Type="http://schemas.openxmlformats.org/officeDocument/2006/relationships/hyperlink" Target="https://login.consultant.ru/link/?req=doc&amp;base=LAW&amp;n=495181&amp;date=29.08.2026" TargetMode = "External"/><Relationship Id="rId22" Type="http://schemas.openxmlformats.org/officeDocument/2006/relationships/hyperlink" Target="https://login.consultant.ru/link/?req=doc&amp;base=PAS&amp;n=1058876&amp;date=29.08.2026" TargetMode = "External"/><Relationship Id="rId23" Type="http://schemas.openxmlformats.org/officeDocument/2006/relationships/hyperlink" Target="https://login.consultant.ru/link/?req=doc&amp;base=LAW&amp;n=495181&amp;date=29.08.2026&amp;dst=2592&amp;field=134" TargetMode = "External"/><Relationship Id="rId24" Type="http://schemas.openxmlformats.org/officeDocument/2006/relationships/hyperlink" Target="https://login.consultant.ru/link/?req=doc&amp;base=MARB&amp;n=3101221&amp;date=29.08.2026" TargetMode = "External"/><Relationship Id="rId25" Type="http://schemas.openxmlformats.org/officeDocument/2006/relationships/hyperlink" Target="www.zakupki.gov.ru" TargetMode = "External"/><Relationship Id="rId26" Type="http://schemas.openxmlformats.org/officeDocument/2006/relationships/hyperlink" Target="https://login.consultant.ru/link/?req=doc&amp;base=LAW&amp;n=495181&amp;date=29.08.2026" TargetMode = "External"/><Relationship Id="rId27" Type="http://schemas.openxmlformats.org/officeDocument/2006/relationships/hyperlink" Target="https://login.consultant.ru/link/?req=doc&amp;base=LAW&amp;n=495181&amp;date=29.08.2026&amp;dst=2453&amp;field=134" TargetMode = "External"/><Relationship Id="rId28" Type="http://schemas.openxmlformats.org/officeDocument/2006/relationships/hyperlink" Target="https://login.consultant.ru/link/?req=doc&amp;base=LAW&amp;n=495181&amp;date=29.08.2026&amp;dst=2389&amp;field=134" TargetMode = "External"/><Relationship Id="rId29" Type="http://schemas.openxmlformats.org/officeDocument/2006/relationships/hyperlink" Target="https://login.consultant.ru/link/?req=doc&amp;base=LAW&amp;n=495181&amp;date=29.08.2026&amp;dst=101344&amp;field=134" TargetMode = "External"/><Relationship Id="rId30" Type="http://schemas.openxmlformats.org/officeDocument/2006/relationships/hyperlink" Target="https://login.consultant.ru/link/?req=doc&amp;base=LAW&amp;n=495181&amp;date=29.08.2026&amp;dst=2460&amp;field=134" TargetMode = "External"/><Relationship Id="rId31" Type="http://schemas.openxmlformats.org/officeDocument/2006/relationships/hyperlink" Target="https://login.consultant.ru/link/?req=doc&amp;base=LAW&amp;n=494937&amp;date=29.08.2026&amp;dst=100005&amp;field=134" TargetMode = "External"/><Relationship Id="rId32" Type="http://schemas.openxmlformats.org/officeDocument/2006/relationships/hyperlink" Target="https://login.consultant.ru/link/?req=doc&amp;base=LAW&amp;n=494937&amp;date=29.08.2026&amp;dst=180&amp;field=134" TargetMode = "External"/><Relationship Id="rId33" Type="http://schemas.openxmlformats.org/officeDocument/2006/relationships/hyperlink" Target="https://login.consultant.ru/link/?req=doc&amp;base=LAW&amp;n=494937&amp;date=29.08.2026&amp;dst=180&amp;field=134" TargetMode = "External"/><Relationship Id="rId34" Type="http://schemas.openxmlformats.org/officeDocument/2006/relationships/hyperlink" Target="https://login.consultant.ru/link/?req=doc&amp;base=LAW&amp;n=495181&amp;date=29.08.2026&amp;dst=2526&amp;field=134" TargetMode = "External"/><Relationship Id="rId35" Type="http://schemas.openxmlformats.org/officeDocument/2006/relationships/hyperlink" Target="https://login.consultant.ru/link/?req=doc&amp;base=LAW&amp;n=495181&amp;date=29.08.2026&amp;dst=2460&amp;field=134" TargetMode = "External"/><Relationship Id="rId36" Type="http://schemas.openxmlformats.org/officeDocument/2006/relationships/hyperlink" Target="https://login.consultant.ru/link/?req=doc&amp;base=LAW&amp;n=495181&amp;date=29.08.2026&amp;dst=2395&amp;field=134" TargetMode = "External"/><Relationship Id="rId37" Type="http://schemas.openxmlformats.org/officeDocument/2006/relationships/hyperlink" Target="https://login.consultant.ru/link/?req=doc&amp;base=LAW&amp;n=494937&amp;date=29.08.2026&amp;dst=244&amp;field=134" TargetMode = "External"/><Relationship Id="rId38" Type="http://schemas.openxmlformats.org/officeDocument/2006/relationships/hyperlink" Target="https://login.consultant.ru/link/?req=doc&amp;base=LAW&amp;n=508490&amp;date=29.08.2026&amp;dst=101064&amp;field=134" TargetMode = "External"/><Relationship Id="rId39" Type="http://schemas.openxmlformats.org/officeDocument/2006/relationships/hyperlink" Target="https://login.consultant.ru/link/?req=doc&amp;base=LAW&amp;n=508490&amp;date=29.08.2026&amp;dst=101068&amp;field=134" TargetMode = "External"/><Relationship Id="rId40" Type="http://schemas.openxmlformats.org/officeDocument/2006/relationships/hyperlink" Target="https://login.consultant.ru/link/?req=doc&amp;base=LAW&amp;n=508490&amp;date=29.08.2026&amp;dst=101058&amp;field=134" TargetMode = "External"/><Relationship Id="rId41" Type="http://schemas.openxmlformats.org/officeDocument/2006/relationships/hyperlink" Target="https://login.consultant.ru/link/?req=doc&amp;base=LAW&amp;n=495181&amp;date=29.08.2026" TargetMode = "External"/><Relationship Id="rId42" Type="http://schemas.openxmlformats.org/officeDocument/2006/relationships/hyperlink" Target="https://login.consultant.ru/link/?req=doc&amp;base=LAW&amp;n=508490&amp;date=29.08.2026&amp;dst=101068&amp;field=134" TargetMode = "External"/><Relationship Id="rId43" Type="http://schemas.openxmlformats.org/officeDocument/2006/relationships/hyperlink" Target="https://login.consultant.ru/link/?req=doc&amp;base=LAW&amp;n=495181&amp;date=29.08.2026&amp;dst=2526&amp;field=134" TargetMode = "External"/><Relationship Id="rId44" Type="http://schemas.openxmlformats.org/officeDocument/2006/relationships/hyperlink" Target="https://login.consultant.ru/link/?req=doc&amp;base=LAW&amp;n=531290&amp;date=29.08.2026&amp;dst=11263&amp;field=134" TargetMode = "External"/><Relationship Id="rId45" Type="http://schemas.openxmlformats.org/officeDocument/2006/relationships/hyperlink" Target="https://login.consultant.ru/link/?req=doc&amp;base=PAS&amp;n=1034965&amp;date=29.08.2026" TargetMode = "External"/><Relationship Id="rId46" Type="http://schemas.openxmlformats.org/officeDocument/2006/relationships/hyperlink" Target="https://login.consultant.ru/link/?req=doc&amp;base=PAS&amp;n=1034965&amp;date=29.08.2026" TargetMode = "External"/><Relationship Id="rId47" Type="http://schemas.openxmlformats.org/officeDocument/2006/relationships/hyperlink" Target="https://login.consultant.ru/link/?req=doc&amp;base=MARB&amp;n=3012935&amp;date=29.08.2026" TargetMode = "External"/><Relationship Id="rId48" Type="http://schemas.openxmlformats.org/officeDocument/2006/relationships/hyperlink" Target="https://login.consultant.ru/link/?req=doc&amp;base=MARB&amp;n=3009463&amp;date=29.08.2026" TargetMode = "External"/><Relationship Id="rId49" Type="http://schemas.openxmlformats.org/officeDocument/2006/relationships/hyperlink" Target="https://login.consultant.ru/link/?req=doc&amp;base=PAS&amp;n=1034965&amp;date=29.08.2026" TargetMode = "External"/><Relationship Id="rId50" Type="http://schemas.openxmlformats.org/officeDocument/2006/relationships/hyperlink" Target="https://login.consultant.ru/link/?req=doc&amp;base=LAW&amp;n=495181&amp;date=29.08.2026&amp;dst=100009&amp;field=134" TargetMode = "External"/><Relationship Id="rId51" Type="http://schemas.openxmlformats.org/officeDocument/2006/relationships/hyperlink" Target="https://login.consultant.ru/link/?req=doc&amp;base=LAW&amp;n=495181&amp;date=29.08.2026&amp;dst=2389&amp;field=134" TargetMode = "External"/><Relationship Id="rId52" Type="http://schemas.openxmlformats.org/officeDocument/2006/relationships/hyperlink" Target="https://login.consultant.ru/link/?req=doc&amp;base=LAW&amp;n=495181&amp;date=29.08.2026&amp;dst=2440&amp;field=134" TargetMode = "External"/><Relationship Id="rId53" Type="http://schemas.openxmlformats.org/officeDocument/2006/relationships/hyperlink" Target="https://login.consultant.ru/link/?req=doc&amp;base=LAW&amp;n=495181&amp;date=29.08.2026&amp;dst=2478&amp;field=134" TargetMode = "External"/><Relationship Id="rId54" Type="http://schemas.openxmlformats.org/officeDocument/2006/relationships/hyperlink" Target="https://login.consultant.ru/link/?req=doc&amp;base=LAW&amp;n=494937&amp;date=29.08.2026" TargetMode = "External"/><Relationship Id="rId55" Type="http://schemas.openxmlformats.org/officeDocument/2006/relationships/hyperlink" Target="https://login.consultant.ru/link/?req=doc&amp;base=LAW&amp;n=495181&amp;date=29.08.2026&amp;dst=2395&amp;field=134" TargetMode = "External"/><Relationship Id="rId56" Type="http://schemas.openxmlformats.org/officeDocument/2006/relationships/hyperlink" Target="https://login.consultant.ru/link/?req=doc&amp;base=LAW&amp;n=508490&amp;date=29.08.2026&amp;dst=101068&amp;field=134" TargetMode = "External"/><Relationship Id="rId57" Type="http://schemas.openxmlformats.org/officeDocument/2006/relationships/hyperlink" Target="https://login.consultant.ru/link/?req=doc&amp;base=AMS&amp;n=582693&amp;date=29.08.2026" TargetMode = "External"/><Relationship Id="rId58" Type="http://schemas.openxmlformats.org/officeDocument/2006/relationships/hyperlink" Target="https://login.consultant.ru/link/?req=doc&amp;base=LAW&amp;n=486432&amp;date=29.08.2026&amp;dst=100130&amp;field=134" TargetMode = "External"/><Relationship Id="rId59" Type="http://schemas.openxmlformats.org/officeDocument/2006/relationships/hyperlink" Target="https://login.consultant.ru/link/?req=doc&amp;base=LAW&amp;n=486432&amp;date=29.08.2026&amp;dst=100130&amp;field=134" TargetMode = "External"/><Relationship Id="rId60" Type="http://schemas.openxmlformats.org/officeDocument/2006/relationships/hyperlink" Target="https://login.consultant.ru/link/?req=doc&amp;base=LAW&amp;n=495181&amp;date=29.08.2026&amp;dst=2304&amp;field=134" TargetMode = "External"/><Relationship Id="rId61" Type="http://schemas.openxmlformats.org/officeDocument/2006/relationships/hyperlink" Target="https://login.consultant.ru/link/?req=doc&amp;base=LAW&amp;n=531290&amp;date=29.08.2026&amp;dst=11259&amp;field=134" TargetMode = "External"/><Relationship Id="rId62" Type="http://schemas.openxmlformats.org/officeDocument/2006/relationships/hyperlink" Target="https://login.consultant.ru/link/?req=doc&amp;base=PAS&amp;n=1093243&amp;date=29.08.2026" TargetMode = "External"/><Relationship Id="rId63" Type="http://schemas.openxmlformats.org/officeDocument/2006/relationships/hyperlink" Target="https://login.consultant.ru/link/?req=doc&amp;base=PAS&amp;n=1093243&amp;date=29.08.2026" TargetMode = "External"/><Relationship Id="rId64" Type="http://schemas.openxmlformats.org/officeDocument/2006/relationships/hyperlink" Target="https://login.consultant.ru/link/?req=doc&amp;base=PAS&amp;n=1097536&amp;date=29.08.2026" TargetMode = "External"/><Relationship Id="rId65" Type="http://schemas.openxmlformats.org/officeDocument/2006/relationships/hyperlink" Target="https://login.consultant.ru/link/?req=doc&amp;base=PAS&amp;n=1093243&amp;date=29.08.2026" TargetMode = "External"/><Relationship Id="rId66" Type="http://schemas.openxmlformats.org/officeDocument/2006/relationships/hyperlink" Target="https://login.consultant.ru/link/?req=doc&amp;base=LAW&amp;n=486432&amp;date=29.08.2026&amp;dst=100130&amp;field=134" TargetMode = "External"/><Relationship Id="rId67" Type="http://schemas.openxmlformats.org/officeDocument/2006/relationships/hyperlink" Target="https://login.consultant.ru/link/?req=doc&amp;base=LAW&amp;n=486432&amp;date=29.08.2026&amp;dst=100130&amp;field=134" TargetMode = "External"/><Relationship Id="rId68" Type="http://schemas.openxmlformats.org/officeDocument/2006/relationships/hyperlink" Target="https://login.consultant.ru/link/?req=doc&amp;base=MARB&amp;n=3156068&amp;date=29.08.2026" TargetMode = "External"/><Relationship Id="rId69" Type="http://schemas.openxmlformats.org/officeDocument/2006/relationships/hyperlink" Target="https://login.consultant.ru/link/?req=doc&amp;base=LAW&amp;n=486432&amp;date=29.08.2026&amp;dst=95&amp;field=134" TargetMode = "External"/><Relationship Id="rId70" Type="http://schemas.openxmlformats.org/officeDocument/2006/relationships/hyperlink" Target="www.zakupki.gov.ru" TargetMode = "External"/><Relationship Id="rId71" Type="http://schemas.openxmlformats.org/officeDocument/2006/relationships/hyperlink" Target="https://login.consultant.ru/link/?req=doc&amp;base=LAW&amp;n=495181&amp;date=29.08.2026&amp;dst=12091&amp;field=134" TargetMode = "External"/><Relationship Id="rId72" Type="http://schemas.openxmlformats.org/officeDocument/2006/relationships/hyperlink" Target="https://login.consultant.ru/link/?req=doc&amp;base=LAW&amp;n=495181&amp;date=29.08.2026&amp;dst=12462&amp;field=134" TargetMode = "External"/><Relationship Id="rId73" Type="http://schemas.openxmlformats.org/officeDocument/2006/relationships/hyperlink" Target="https://login.consultant.ru/link/?req=doc&amp;base=LAW&amp;n=486432&amp;date=29.08.2026&amp;dst=95&amp;field=134" TargetMode = "External"/><Relationship Id="rId74" Type="http://schemas.openxmlformats.org/officeDocument/2006/relationships/hyperlink" Target="https://login.consultant.ru/link/?req=doc&amp;base=LAW&amp;n=511656&amp;date=29.08.2026&amp;dst=44&amp;field=134" TargetMode = "External"/><Relationship Id="rId75" Type="http://schemas.openxmlformats.org/officeDocument/2006/relationships/hyperlink" Target="https://login.consultant.ru/link/?req=doc&amp;base=LAW&amp;n=495181&amp;date=29.08.2026&amp;dst=2515&amp;field=134" TargetMode = "External"/><Relationship Id="rId76" Type="http://schemas.openxmlformats.org/officeDocument/2006/relationships/hyperlink" Target="https://login.consultant.ru/link/?req=doc&amp;base=LAW&amp;n=531290&amp;date=29.08.2026&amp;dst=11263&amp;field=134" TargetMode = "External"/><Relationship Id="rId77" Type="http://schemas.openxmlformats.org/officeDocument/2006/relationships/hyperlink" Target="https://login.consultant.ru/link/?req=doc&amp;base=PAS&amp;n=1123919&amp;date=29.08.2026" TargetMode = "External"/><Relationship Id="rId78" Type="http://schemas.openxmlformats.org/officeDocument/2006/relationships/hyperlink" Target="https://login.consultant.ru/link/?req=doc&amp;base=PAS&amp;n=1123919&amp;date=29.08.2026" TargetMode = "External"/><Relationship Id="rId79" Type="http://schemas.openxmlformats.org/officeDocument/2006/relationships/hyperlink" Target="https://login.consultant.ru/link/?req=doc&amp;base=MARB&amp;n=3140325&amp;date=29.08.2026" TargetMode = "External"/><Relationship Id="rId80" Type="http://schemas.openxmlformats.org/officeDocument/2006/relationships/hyperlink" Target="https://login.consultant.ru/link/?req=doc&amp;base=LAW&amp;n=511656&amp;date=29.08.2026&amp;dst=3459&amp;field=134" TargetMode = "External"/><Relationship Id="rId81" Type="http://schemas.openxmlformats.org/officeDocument/2006/relationships/hyperlink" Target="https://login.consultant.ru/link/?req=doc&amp;base=PAS&amp;n=1123919&amp;date=29.08.2026" TargetMode = "External"/><Relationship Id="rId82" Type="http://schemas.openxmlformats.org/officeDocument/2006/relationships/hyperlink" Target="https://login.consultant.ru/link/?req=doc&amp;base=PAS&amp;n=1123920&amp;date=29.08.2026" TargetMode = "External"/><Relationship Id="rId83" Type="http://schemas.openxmlformats.org/officeDocument/2006/relationships/hyperlink" Target="https://login.consultant.ru/link/?req=doc&amp;base=LAW&amp;n=495181&amp;date=29.08.2026" TargetMode = "External"/><Relationship Id="rId84" Type="http://schemas.openxmlformats.org/officeDocument/2006/relationships/hyperlink" Target="https://login.consultant.ru/link/?req=doc&amp;base=MARB&amp;n=3099346&amp;date=29.08.2026" TargetMode = "External"/><Relationship Id="rId85" Type="http://schemas.openxmlformats.org/officeDocument/2006/relationships/hyperlink" Target="www.zakupki.gov.ru" TargetMode = "External"/><Relationship Id="rId86" Type="http://schemas.openxmlformats.org/officeDocument/2006/relationships/hyperlink" Target="https://login.consultant.ru/link/?req=doc&amp;base=LAW&amp;n=495181&amp;date=29.08.2026&amp;dst=2227&amp;field=134" TargetMode = "External"/><Relationship Id="rId87" Type="http://schemas.openxmlformats.org/officeDocument/2006/relationships/hyperlink" Target="https://login.consultant.ru/link/?req=doc&amp;base=LAW&amp;n=486433&amp;date=29.08.2026&amp;dst=100012&amp;field=134" TargetMode = "External"/><Relationship Id="rId88" Type="http://schemas.openxmlformats.org/officeDocument/2006/relationships/hyperlink" Target="https://login.consultant.ru/link/?req=doc&amp;base=LAW&amp;n=486433&amp;date=29.08.2026" TargetMode = "External"/><Relationship Id="rId89" Type="http://schemas.openxmlformats.org/officeDocument/2006/relationships/hyperlink" Target="https://login.consultant.ru/link/?req=doc&amp;base=LAW&amp;n=486433&amp;date=29.08.2026" TargetMode = "External"/><Relationship Id="rId90" Type="http://schemas.openxmlformats.org/officeDocument/2006/relationships/hyperlink" Target="https://login.consultant.ru/link/?req=doc&amp;base=PAS&amp;n=1126379&amp;date=29.08.2026" TargetMode = "External"/><Relationship Id="rId91" Type="http://schemas.openxmlformats.org/officeDocument/2006/relationships/hyperlink" Target="https://login.consultant.ru/link/?req=doc&amp;base=LAW&amp;n=495181&amp;date=29.08.2026&amp;dst=2517&amp;field=134" TargetMode = "External"/><Relationship Id="rId92" Type="http://schemas.openxmlformats.org/officeDocument/2006/relationships/hyperlink" Target="https://login.consultant.ru/link/?req=doc&amp;base=PAS&amp;n=1126380&amp;date=29.08.2026" TargetMode = "External"/><Relationship Id="rId93" Type="http://schemas.openxmlformats.org/officeDocument/2006/relationships/hyperlink" Target="https://login.consultant.ru/link/?req=doc&amp;base=PAS&amp;n=1126379&amp;date=29.08.2026" TargetMode = "External"/><Relationship Id="rId94" Type="http://schemas.openxmlformats.org/officeDocument/2006/relationships/hyperlink" Target="https://login.consultant.ru/link/?req=doc&amp;base=PAS&amp;n=1126380&amp;date=29.08.2026" TargetMode = "External"/><Relationship Id="rId95" Type="http://schemas.openxmlformats.org/officeDocument/2006/relationships/hyperlink" Target="https://login.consultant.ru/link/?req=doc&amp;base=PAS&amp;n=1126379&amp;date=29.08.2026" TargetMode = "External"/><Relationship Id="rId96" Type="http://schemas.openxmlformats.org/officeDocument/2006/relationships/hyperlink" Target="https://login.consultant.ru/link/?req=doc&amp;base=PAS&amp;n=1126379&amp;date=29.08.2026" TargetMode = "External"/><Relationship Id="rId97" Type="http://schemas.openxmlformats.org/officeDocument/2006/relationships/hyperlink" Target="https://login.consultant.ru/link/?req=doc&amp;base=MARB&amp;n=3102113&amp;date=29.08.2026" TargetMode = "External"/><Relationship Id="rId98" Type="http://schemas.openxmlformats.org/officeDocument/2006/relationships/hyperlink" Target="https://login.consultant.ru/link/?req=doc&amp;base=MARB&amp;n=3053375&amp;date=29.08.2026" TargetMode = "External"/><Relationship Id="rId99" Type="http://schemas.openxmlformats.org/officeDocument/2006/relationships/hyperlink" Target="https://login.consultant.ru/link/?req=doc&amp;base=LAW&amp;n=495181&amp;date=29.08.2026&amp;dst=2972&amp;field=134" TargetMode = "External"/><Relationship Id="rId100" Type="http://schemas.openxmlformats.org/officeDocument/2006/relationships/hyperlink" Target="https://login.consultant.ru/link/?req=doc&amp;base=LAW&amp;n=486432&amp;date=29.08.2026" TargetMode = "External"/><Relationship Id="rId101" Type="http://schemas.openxmlformats.org/officeDocument/2006/relationships/hyperlink" Target="https://login.consultant.ru/link/?req=doc&amp;base=MARB&amp;n=3102113&amp;date=29.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 сфере закупок для государственных и муниципальных нужд (апрель 2026 года)"
(Управление контроля размещения государственного заказа ФАС России)
(Подготовлен для системы КонсультантПлюс, 2026)</dc:title>
  <dcterms:created xsi:type="dcterms:W3CDTF">2026-08-29T06:24:10Z</dcterms:created>
</cp:coreProperties>
</file>