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судебной практики в сфере закупок для государственных и муниципальных нужд (март 2026 года)"</w:t>
              <w:br/>
              <w:t xml:space="preserve">(Управление контроля размещения государственного заказа ФАС России)</w:t>
              <w:br/>
              <w:t xml:space="preserve">(Подготовлен для системы КонсультантПлюс, 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right"/>
            </w:pPr>
            <w:r>
              <w:rPr>
                <w:sz w:val="24"/>
                <w:color w:val="392c69"/>
              </w:rPr>
              <w:t xml:space="preserve">Подготовлен для системы КонсультантПлюс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ОБЗОР СУДЕБНОЙ ПРАКТИКИ В СФЕРЕ ЗАКУПОК</w:t>
      </w:r>
    </w:p>
    <w:p>
      <w:pPr>
        <w:pStyle w:val="2"/>
        <w:jc w:val="center"/>
      </w:pPr>
      <w:r>
        <w:rPr>
          <w:sz w:val="24"/>
        </w:rPr>
        <w:t xml:space="preserve">ДЛЯ ГОСУДАРСТВЕННЫХ И МУНИЦИПАЛЬНЫХ НУЖД</w:t>
      </w:r>
    </w:p>
    <w:p>
      <w:pPr>
        <w:pStyle w:val="2"/>
        <w:jc w:val="center"/>
      </w:pPr>
      <w:r>
        <w:rPr>
          <w:sz w:val="24"/>
        </w:rPr>
        <w:t xml:space="preserve">(МАРТ 2026 ГОДА)</w:t>
      </w:r>
    </w:p>
    <w:p>
      <w:pPr>
        <w:pStyle w:val="0"/>
        <w:ind w:firstLine="540"/>
        <w:jc w:val="both"/>
      </w:pPr>
      <w:r>
        <w:rPr>
          <w:sz w:val="24"/>
        </w:rPr>
      </w:r>
    </w:p>
    <w:p>
      <w:pPr>
        <w:pStyle w:val="0"/>
        <w:jc w:val="center"/>
      </w:pPr>
      <w:r>
        <w:rPr>
          <w:sz w:val="24"/>
        </w:rPr>
        <w:t xml:space="preserve">Материал подготовлен с использованием правовых актов</w:t>
      </w:r>
    </w:p>
    <w:p>
      <w:pPr>
        <w:pStyle w:val="0"/>
        <w:jc w:val="center"/>
      </w:pPr>
      <w:r>
        <w:rPr>
          <w:sz w:val="24"/>
        </w:rPr>
        <w:t xml:space="preserve">по состоянию на 31 марта 2026 года</w:t>
      </w:r>
    </w:p>
    <w:p>
      <w:pPr>
        <w:pStyle w:val="0"/>
        <w:ind w:firstLine="540"/>
        <w:jc w:val="both"/>
      </w:pPr>
      <w:r>
        <w:rPr>
          <w:sz w:val="24"/>
        </w:rPr>
      </w:r>
    </w:p>
    <w:p>
      <w:pPr>
        <w:pStyle w:val="2"/>
        <w:outlineLvl w:val="0"/>
        <w:ind w:firstLine="540"/>
        <w:jc w:val="both"/>
      </w:pPr>
      <w:r>
        <w:rPr>
          <w:sz w:val="24"/>
        </w:rPr>
        <w:t xml:space="preserve">1. Банк обязан перечислить в бюджет денежные средства, заблокированные в качестве обеспечения заявки на специальном счете участника закупки, находящегося в стадии ликвидации, поскольку такие средства имеют специальный правовой режим, не допускающий обращения на них взыскания по обязательствам участника, а получение согласия ликвидатора не требуется.</w:t>
      </w:r>
    </w:p>
    <w:p>
      <w:pPr>
        <w:pStyle w:val="0"/>
        <w:ind w:firstLine="540"/>
        <w:jc w:val="both"/>
      </w:pPr>
      <w:r>
        <w:rPr>
          <w:sz w:val="24"/>
        </w:rPr>
      </w:r>
    </w:p>
    <w:p>
      <w:pPr>
        <w:pStyle w:val="0"/>
        <w:ind w:firstLine="540"/>
        <w:jc w:val="both"/>
      </w:pPr>
      <w:r>
        <w:rPr>
          <w:sz w:val="24"/>
        </w:rPr>
        <w:t xml:space="preserve">ФАС России на основании обращения АО "АГЗ РТ" (далее - Оператор электронной площадки) проведена внеплановая проверка действий Банка ВТБ (ПАО) (далее - Банк) при проведении электронного аукциона на право заключения государственного контракта на оказание услуг по обеспечению безопасности для нужд Государственного Совета Республики Татарстан в 2025 году (номер извещения N 0111200004124000121) (далее - Аукцион) и принято </w:t>
      </w:r>
      <w:hyperlink w:history="0" r:id="rId8" w:tooltip="Ссылка на КонсультантПлюс">
        <w:r>
          <w:rPr>
            <w:sz w:val="24"/>
            <w:color w:val="0000ff"/>
          </w:rPr>
          <w:t xml:space="preserve">решение</w:t>
        </w:r>
      </w:hyperlink>
      <w:r>
        <w:rPr>
          <w:sz w:val="24"/>
        </w:rPr>
        <w:t xml:space="preserve"> от 18.02.2025 по делу N 25/44/99/29 (далее - Решение ФАС России) об установлении в действиях Банка нарушения </w:t>
      </w:r>
      <w:hyperlink w:history="0" r:id="rId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2 части 14 статьи 44</w:t>
        </w:r>
      </w:hyperlink>
      <w:r>
        <w:rPr>
          <w:sz w:val="24"/>
        </w:rPr>
        <w:t xml:space="preserve"> Закона о контрактной системе. Кроме того, Комиссией ФАС России выдано </w:t>
      </w:r>
      <w:hyperlink w:history="0" r:id="rId10" w:tooltip="Ссылка на КонсультантПлюс">
        <w:r>
          <w:rPr>
            <w:sz w:val="24"/>
            <w:color w:val="0000ff"/>
          </w:rPr>
          <w:t xml:space="preserve">предписание</w:t>
        </w:r>
      </w:hyperlink>
      <w:r>
        <w:rPr>
          <w:sz w:val="24"/>
        </w:rPr>
        <w:t xml:space="preserve"> от 18.02.2025 по делу N 25/44/99/29, направленное на восстановление нарушенных прав Общества (далее - Предписание ФАС России).</w:t>
      </w:r>
    </w:p>
    <w:p>
      <w:pPr>
        <w:pStyle w:val="0"/>
        <w:spacing w:before="240" w:lineRule="auto"/>
        <w:ind w:firstLine="540"/>
        <w:jc w:val="both"/>
      </w:pPr>
      <w:hyperlink w:history="0" r:id="rId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8 статьи 44</w:t>
        </w:r>
      </w:hyperlink>
      <w:r>
        <w:rPr>
          <w:sz w:val="24"/>
        </w:rPr>
        <w:t xml:space="preserve"> Закона о контрактной системе предусмотрено, что на денежные средства, заблокированные в соответствии со </w:t>
      </w:r>
      <w:hyperlink w:history="0" r:id="rId1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44</w:t>
        </w:r>
      </w:hyperlink>
      <w:r>
        <w:rPr>
          <w:sz w:val="24"/>
        </w:rPr>
        <w:t xml:space="preserve"> Закона о контрактной системе, не может быть обращено взыскание по обязательствам участника закупки.</w:t>
      </w:r>
    </w:p>
    <w:p>
      <w:pPr>
        <w:pStyle w:val="0"/>
        <w:spacing w:before="240" w:lineRule="auto"/>
        <w:ind w:firstLine="540"/>
        <w:jc w:val="both"/>
      </w:pPr>
      <w:r>
        <w:rPr>
          <w:sz w:val="24"/>
        </w:rPr>
        <w:t xml:space="preserve">Согласно </w:t>
      </w:r>
      <w:hyperlink w:history="0" r:id="rId1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пункту 2 части 9 статьи 44</w:t>
        </w:r>
      </w:hyperlink>
      <w:r>
        <w:rPr>
          <w:sz w:val="24"/>
        </w:rPr>
        <w:t xml:space="preserve"> Закона о контрактной системе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перевода в случаях, предусмотренных </w:t>
      </w:r>
      <w:hyperlink w:history="0"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44</w:t>
        </w:r>
      </w:hyperlink>
      <w:r>
        <w:rPr>
          <w:sz w:val="24"/>
        </w:rPr>
        <w:t xml:space="preserve"> Закона о контрактной системе, заблокированных денежных средств в размере обеспечения соответствующей заявки:</w:t>
      </w:r>
    </w:p>
    <w:p>
      <w:pPr>
        <w:pStyle w:val="0"/>
        <w:spacing w:before="240" w:lineRule="auto"/>
        <w:ind w:firstLine="540"/>
        <w:jc w:val="both"/>
      </w:pPr>
      <w:r>
        <w:rPr>
          <w:sz w:val="24"/>
        </w:rPr>
        <w:t xml:space="preserve">-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 в соответствующий бюджет бюджетной системы Российской Федерации.</w:t>
      </w:r>
    </w:p>
    <w:p>
      <w:pPr>
        <w:pStyle w:val="0"/>
        <w:spacing w:before="240" w:lineRule="auto"/>
        <w:ind w:firstLine="540"/>
        <w:jc w:val="both"/>
      </w:pPr>
      <w:r>
        <w:rPr>
          <w:sz w:val="24"/>
        </w:rPr>
        <w:t xml:space="preserve">В силу положений </w:t>
      </w:r>
      <w:hyperlink w:history="0" r:id="rId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13 статьи 44</w:t>
        </w:r>
      </w:hyperlink>
      <w:r>
        <w:rPr>
          <w:sz w:val="24"/>
        </w:rPr>
        <w:t xml:space="preserve"> Закона о контрактной системе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w:t>
      </w:r>
      <w:hyperlink w:history="0" r:id="rId1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пунктами 1</w:t>
        </w:r>
      </w:hyperlink>
      <w:r>
        <w:rPr>
          <w:sz w:val="24"/>
        </w:rPr>
        <w:t xml:space="preserve"> - </w:t>
      </w:r>
      <w:hyperlink w:history="0" r:id="rId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w:t>
        </w:r>
      </w:hyperlink>
      <w:r>
        <w:rPr>
          <w:sz w:val="24"/>
        </w:rPr>
        <w:t xml:space="preserve">, </w:t>
      </w:r>
      <w:hyperlink w:history="0" r:id="rId1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5</w:t>
        </w:r>
      </w:hyperlink>
      <w:r>
        <w:rPr>
          <w:sz w:val="24"/>
        </w:rPr>
        <w:t xml:space="preserve"> - </w:t>
      </w:r>
      <w:hyperlink w:history="0" r:id="rId1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9 части 12 статьи 48</w:t>
        </w:r>
      </w:hyperlink>
      <w:r>
        <w:rPr>
          <w:sz w:val="24"/>
        </w:rPr>
        <w:t xml:space="preserve"> Закона о контрактной системе, в порядке, предусмотренном </w:t>
      </w:r>
      <w:hyperlink w:history="0" r:id="rId2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14 статьи 44</w:t>
        </w:r>
      </w:hyperlink>
      <w:r>
        <w:rPr>
          <w:sz w:val="24"/>
        </w:rPr>
        <w:t xml:space="preserve"> Закона о контрактной системе,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history="0" r:id="rId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15 статьи 44</w:t>
        </w:r>
      </w:hyperlink>
      <w:r>
        <w:rPr>
          <w:sz w:val="24"/>
        </w:rPr>
        <w:t xml:space="preserve"> Закона о контрактной системе, предъявляется требование об уплате денежной суммы по независимой гарантии, предоставленной для обеспечения каждой третьей такой заявки.</w:t>
      </w:r>
    </w:p>
    <w:p>
      <w:pPr>
        <w:pStyle w:val="0"/>
        <w:spacing w:before="240" w:lineRule="auto"/>
        <w:ind w:firstLine="540"/>
        <w:jc w:val="both"/>
      </w:pPr>
      <w:hyperlink w:history="0" r:id="rId2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2 части 14 статьи 44</w:t>
        </w:r>
      </w:hyperlink>
      <w:r>
        <w:rPr>
          <w:sz w:val="24"/>
        </w:rPr>
        <w:t xml:space="preserve"> Закона о контрактной системе установлено, что, если в случае, предусмотренном </w:t>
      </w:r>
      <w:hyperlink w:history="0" r:id="rId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13 статьи 44</w:t>
        </w:r>
      </w:hyperlink>
      <w:r>
        <w:rPr>
          <w:sz w:val="24"/>
        </w:rPr>
        <w:t xml:space="preserve"> Закона о контрактной системе, обеспечение заявки на участие в закупке, являющейся третьей заявкой, предоставлено в виде денежных средств, банк не позднее одного часа с момента получения информации, предусмотренной </w:t>
      </w:r>
      <w:hyperlink w:history="0" r:id="rId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14 статьи 44</w:t>
        </w:r>
      </w:hyperlink>
      <w:r>
        <w:rPr>
          <w:sz w:val="24"/>
        </w:rPr>
        <w:t xml:space="preserve"> Закона о контрактной системе,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pPr>
        <w:pStyle w:val="0"/>
        <w:spacing w:before="240" w:lineRule="auto"/>
        <w:ind w:firstLine="540"/>
        <w:jc w:val="both"/>
      </w:pPr>
      <w:r>
        <w:rPr>
          <w:sz w:val="24"/>
        </w:rPr>
        <w:t xml:space="preserve">На заседании Комиссии установлено, что Оператором электронной площадки 15.01.2025 в 10:07 (МСК) в адрес Банка направлен запрос о переводе денежных средств в размере 18 999,56 руб., заблокированных на специальном счете ООО "ЧОО "ТЭСТА" в качестве обеспечения заявки, Заказчику ввиду третьего отклонения заявки ООО "ЧОО "ТЭСТА" в соответствии с </w:t>
      </w:r>
      <w:hyperlink w:history="0" r:id="rId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13 статьи 44</w:t>
        </w:r>
      </w:hyperlink>
      <w:r>
        <w:rPr>
          <w:sz w:val="24"/>
        </w:rPr>
        <w:t xml:space="preserve"> Закона о контрактной системе. Вместе с тем на заседании Комиссии установлено, что 16.10.2024 в 19:15 (МСК) Банк отклонил поступивший запрос по причине наличия в ЕГРЮЛ сведений о нахождении ООО "ЧОО "ТЭСТА" в стадии ликвидации с 13.12.2024.</w:t>
      </w:r>
    </w:p>
    <w:p>
      <w:pPr>
        <w:pStyle w:val="0"/>
        <w:spacing w:before="240" w:lineRule="auto"/>
        <w:ind w:firstLine="540"/>
        <w:jc w:val="both"/>
      </w:pPr>
      <w:r>
        <w:rPr>
          <w:sz w:val="24"/>
        </w:rPr>
        <w:t xml:space="preserve">Представитель Банка на заседании Комиссии пояснил, что в соответствии с </w:t>
      </w:r>
      <w:hyperlink w:history="0" r:id="rId26"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rPr>
          <w:t xml:space="preserve">пунктом 4 статьи 62</w:t>
        </w:r>
      </w:hyperlink>
      <w:r>
        <w:rPr>
          <w:sz w:val="24"/>
        </w:rPr>
        <w:t xml:space="preserve"> ГК РФ с момента назначения ликвидационной комиссии (ликвидатора) к ней переходят полномочия по управлению делами юридического лица. При этом Банком не получен акцепт ликвидатора ООО "ЧОО "ТЭСТА" на перечисление денежных средств со специального счета Заказчику, в связи с чем Банком принято решение об отказе в перечислении указанных денежных средств.</w:t>
      </w:r>
    </w:p>
    <w:p>
      <w:pPr>
        <w:pStyle w:val="0"/>
        <w:spacing w:before="240" w:lineRule="auto"/>
        <w:ind w:firstLine="540"/>
        <w:jc w:val="both"/>
      </w:pPr>
      <w:r>
        <w:rPr>
          <w:sz w:val="24"/>
        </w:rPr>
        <w:t xml:space="preserve">Вместе с тем Комиссия отметила, что обращение взыскания по обязательствам ООО "ЧОО "ТЭСТА" на заблокированные денежные средства, внесенные ООО "ЧОО "ТЭСТА" в качестве обеспечения заявки на специальный счет, противоречит положениям </w:t>
      </w:r>
      <w:hyperlink w:history="0" r:id="rId2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8 статьи 44</w:t>
        </w:r>
      </w:hyperlink>
      <w:r>
        <w:rPr>
          <w:sz w:val="24"/>
        </w:rPr>
        <w:t xml:space="preserve"> Закона о контрактной системе ввиду особого правового статуса денежных средств, вносимых на специальные счета участников закупок для обеспечения участия в закупках, в связи с чем получение согласия ликвидатора юридического лица, являющегося участником закупки, на осуществление операции по перечислению денежных средств в соответствующий бюджет бюджетной системы Российской Федерации не требуется.</w:t>
      </w:r>
    </w:p>
    <w:p>
      <w:pPr>
        <w:pStyle w:val="0"/>
        <w:spacing w:before="240" w:lineRule="auto"/>
        <w:ind w:firstLine="540"/>
        <w:jc w:val="both"/>
      </w:pPr>
      <w:r>
        <w:rPr>
          <w:sz w:val="24"/>
        </w:rPr>
        <w:t xml:space="preserve">Не согласившись с </w:t>
      </w:r>
      <w:hyperlink w:history="0" r:id="rId28" w:tooltip="Ссылка на КонсультантПлюс">
        <w:r>
          <w:rPr>
            <w:sz w:val="24"/>
            <w:color w:val="0000ff"/>
          </w:rPr>
          <w:t xml:space="preserve">Решением</w:t>
        </w:r>
      </w:hyperlink>
      <w:r>
        <w:rPr>
          <w:sz w:val="24"/>
        </w:rPr>
        <w:t xml:space="preserve"> и </w:t>
      </w:r>
      <w:hyperlink w:history="0" r:id="rId29" w:tooltip="Ссылка на КонсультантПлюс">
        <w:r>
          <w:rPr>
            <w:sz w:val="24"/>
            <w:color w:val="0000ff"/>
          </w:rPr>
          <w:t xml:space="preserve">Предписанием</w:t>
        </w:r>
      </w:hyperlink>
      <w:r>
        <w:rPr>
          <w:sz w:val="24"/>
        </w:rPr>
        <w:t xml:space="preserve"> ФАС России, Банк обжаловал их в судебном порядке.</w:t>
      </w:r>
    </w:p>
    <w:p>
      <w:pPr>
        <w:pStyle w:val="0"/>
        <w:spacing w:before="240" w:lineRule="auto"/>
        <w:ind w:firstLine="540"/>
        <w:jc w:val="both"/>
      </w:pPr>
      <w:r>
        <w:rPr>
          <w:sz w:val="24"/>
        </w:rPr>
        <w:t xml:space="preserve">Арбитражный суд Московского округа, оставивший без изменений </w:t>
      </w:r>
      <w:hyperlink w:history="0" r:id="rId30" w:tooltip="Постановление Девятого арбитражного апелляционного суда от 17.12.2025 N 09АП-52481/2025 по делу N А40-73441/2025 Категория: Споры с антимонопольными органами. Требования хозяйствующих субъектов: Об отмене акта антимонопольного органа. Обстоятельства: Действия банка нарушили п. 2 ч. 14 ст. 44 Закона о контрактной системе. На денежные средства, заблокированные на специальном счете, не может быть обращено взыскание по обязательствам участника закупки. Получение согласия ликвидатора на перечисление денежных сре {КонсультантПлюс}">
        <w:r>
          <w:rPr>
            <w:sz w:val="24"/>
            <w:color w:val="0000ff"/>
          </w:rPr>
          <w:t xml:space="preserve">Постановление</w:t>
        </w:r>
      </w:hyperlink>
      <w:r>
        <w:rPr>
          <w:sz w:val="24"/>
        </w:rPr>
        <w:t xml:space="preserve"> Девятого арбитражного апелляционного суда и решение Арбитражного суда города Москвы, которыми отказано в удовлетворении требований Банка, указал на следующее:</w:t>
      </w:r>
    </w:p>
    <w:p>
      <w:pPr>
        <w:pStyle w:val="0"/>
        <w:spacing w:before="240" w:lineRule="auto"/>
        <w:ind w:firstLine="540"/>
        <w:jc w:val="both"/>
      </w:pPr>
      <w:r>
        <w:rPr>
          <w:sz w:val="24"/>
          <w:i w:val="on"/>
        </w:rPr>
        <w:t xml:space="preserve">"Суды пришли к выводу, что обращение взыскания по обязательствам ООО "ЧОО "ТЭСТА" на заблокированные денежные средства, внесенные ООО "ЧОО "ТЭСТА" в качестве обеспечения заявки на специальный счет, противоречит положениям </w:t>
      </w:r>
      <w:hyperlink w:history="0" r:id="rId3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части 8 статьи 44</w:t>
        </w:r>
      </w:hyperlink>
      <w:r>
        <w:rPr>
          <w:sz w:val="24"/>
          <w:i w:val="on"/>
        </w:rPr>
        <w:t xml:space="preserve"> Закона о контрактной системе ввиду особого правового статуса денежных средств, вносимых на специальные счета участников закупок для обеспечения участия в закупках, в связи с чем получение согласия ликвидатора юридического лица, являющегося участником закупки, на осуществление операции по перечислению денежных средств в соответствующий бюджет бюджетной системы Российской Федерации не требуется, действия банка, не осуществившего перевод денежных средств ООО "ЧОО "ТЭСТА" со специального счета в размере обеспечения заявки на участие в аукционе заказчику, нарушают </w:t>
      </w:r>
      <w:hyperlink w:history="0" r:id="rId3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пункт 2 части 14 статьи 44</w:t>
        </w:r>
      </w:hyperlink>
      <w:r>
        <w:rPr>
          <w:sz w:val="24"/>
          <w:i w:val="on"/>
        </w:rPr>
        <w:t xml:space="preserve"> Закона о контрактной системе.</w:t>
      </w:r>
    </w:p>
    <w:p>
      <w:pPr>
        <w:pStyle w:val="0"/>
        <w:spacing w:before="240" w:lineRule="auto"/>
        <w:ind w:firstLine="540"/>
        <w:jc w:val="both"/>
      </w:pPr>
      <w:r>
        <w:rPr>
          <w:sz w:val="24"/>
          <w:i w:val="on"/>
        </w:rPr>
        <w:t xml:space="preserve">Суды пришли к выводу, что в действиях банка правомерно установлено нарушение требований </w:t>
      </w:r>
      <w:hyperlink w:history="0" r:id="rId3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пункта 2 части 14 статьи 44</w:t>
        </w:r>
      </w:hyperlink>
      <w:r>
        <w:rPr>
          <w:sz w:val="24"/>
          <w:i w:val="on"/>
        </w:rPr>
        <w:t xml:space="preserve"> Закона о контрактной системе, оспариваемые </w:t>
      </w:r>
      <w:hyperlink w:history="0" r:id="rId34" w:tooltip="Ссылка на КонсультантПлюс">
        <w:r>
          <w:rPr>
            <w:sz w:val="24"/>
            <w:color w:val="0000ff"/>
            <w:i w:val="on"/>
          </w:rPr>
          <w:t xml:space="preserve">решение</w:t>
        </w:r>
      </w:hyperlink>
      <w:r>
        <w:rPr>
          <w:sz w:val="24"/>
          <w:i w:val="on"/>
        </w:rPr>
        <w:t xml:space="preserve"> и </w:t>
      </w:r>
      <w:hyperlink w:history="0" r:id="rId35" w:tooltip="Ссылка на КонсультантПлюс">
        <w:r>
          <w:rPr>
            <w:sz w:val="24"/>
            <w:color w:val="0000ff"/>
            <w:i w:val="on"/>
          </w:rPr>
          <w:t xml:space="preserve">предписание</w:t>
        </w:r>
      </w:hyperlink>
      <w:r>
        <w:rPr>
          <w:sz w:val="24"/>
          <w:i w:val="on"/>
        </w:rPr>
        <w:t xml:space="preserve"> антимонопольного органа соответствуют действующему законодательству о контрактной системе, прав и законных интересов заявителя не нарушают, в связи с чем заявленные требования удовлетворению не подлежат".</w:t>
      </w:r>
    </w:p>
    <w:p>
      <w:pPr>
        <w:pStyle w:val="0"/>
        <w:spacing w:before="240" w:lineRule="auto"/>
        <w:ind w:firstLine="540"/>
        <w:jc w:val="both"/>
      </w:pPr>
      <w:r>
        <w:rPr>
          <w:sz w:val="24"/>
        </w:rPr>
        <w:t xml:space="preserve">(</w:t>
      </w:r>
      <w:hyperlink w:history="0" r:id="rId36" w:tooltip="Постановление Арбитражного суда Московского округа от 18.03.2026 N Ф05-2399/2026 по делу N А40-73441/2025 Требование: О признании незаконными решения и предписания антимонопольного органа. Обстоятельства: Оспариваемым решением в действиях заказчика при проведении аукциона на право заключения государственного контракта на оказание услуг по обеспечению безопасности признаны нарушения требований п. 2 ч. 14 ст. 44 Закона о контрактной системе. Выдано предписание об устранении выявленных нарушений. Решение: В уд {КонсультантПлюс}">
        <w:r>
          <w:rPr>
            <w:sz w:val="24"/>
            <w:color w:val="0000ff"/>
          </w:rPr>
          <w:t xml:space="preserve">Постановление</w:t>
        </w:r>
      </w:hyperlink>
      <w:r>
        <w:rPr>
          <w:sz w:val="24"/>
        </w:rPr>
        <w:t xml:space="preserve"> Арбитражного суда Московского округа от 18.03.2026 по делу N А40-73441/2025)</w:t>
      </w:r>
    </w:p>
    <w:p>
      <w:pPr>
        <w:pStyle w:val="0"/>
        <w:ind w:firstLine="540"/>
        <w:jc w:val="both"/>
      </w:pPr>
      <w:r>
        <w:rPr>
          <w:sz w:val="24"/>
        </w:rPr>
      </w:r>
    </w:p>
    <w:p>
      <w:pPr>
        <w:pStyle w:val="2"/>
        <w:outlineLvl w:val="0"/>
        <w:ind w:firstLine="540"/>
        <w:jc w:val="both"/>
      </w:pPr>
      <w:r>
        <w:rPr>
          <w:sz w:val="24"/>
        </w:rPr>
        <w:t xml:space="preserve">2. Заявка на участие в закупке на поставку медицинского изделия должна содержать достоверные сведения в отношении предлагаемого к поставке товара, соответствующие объекту закупки и установленным заказчиком характеристикам, а также не противоречить сведениям, указанным в регистрационном удостоверении на медицинское изделие.</w:t>
      </w:r>
    </w:p>
    <w:p>
      <w:pPr>
        <w:pStyle w:val="0"/>
        <w:ind w:firstLine="540"/>
        <w:jc w:val="both"/>
      </w:pPr>
      <w:r>
        <w:rPr>
          <w:sz w:val="24"/>
        </w:rPr>
      </w:r>
    </w:p>
    <w:p>
      <w:pPr>
        <w:pStyle w:val="0"/>
        <w:ind w:firstLine="540"/>
        <w:jc w:val="both"/>
      </w:pPr>
      <w:r>
        <w:rPr>
          <w:sz w:val="24"/>
        </w:rPr>
        <w:t xml:space="preserve">ФАС России проведена внеплановая проверка соблюдения законодательства Российской Федерации о контрактной системе в сфере закупок при проведении ОГБУЗ "Районная больница п. Мама" (далее - Заказчик), Министерством по регулированию контрактной системы в сфере закупок Иркутской области (далее - Уполномоченный орган), комиссией по осуществлению закупок Уполномоченного органа (далее - Комиссия по осуществлению закупок), оператором электронной площадки ООО "РТС-Тендер" электронного аукциона на поставку медицинского изделия - Светильник операционный потолочный (наименование в соответствии с КТРУ - Светильник операционный), ввод в эксплуатацию медицинских изделий, обучение правилам эксплуатации специалистов, эксплуатирующих медицинские изделия (номер извещения в ЕИС - 0134200000125000791 (далее - Извещение, Аукцион).</w:t>
      </w:r>
    </w:p>
    <w:p>
      <w:pPr>
        <w:pStyle w:val="0"/>
        <w:spacing w:before="240" w:lineRule="auto"/>
        <w:ind w:firstLine="540"/>
        <w:jc w:val="both"/>
      </w:pPr>
      <w:r>
        <w:rPr>
          <w:sz w:val="24"/>
        </w:rPr>
        <w:t xml:space="preserve">В силу </w:t>
      </w:r>
      <w:hyperlink w:history="0" r:id="rId3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"а" пункта 1 части 5 статьи 49</w:t>
        </w:r>
      </w:hyperlink>
      <w:r>
        <w:rPr>
          <w:sz w:val="24"/>
        </w:rPr>
        <w:t xml:space="preserve"> Закона о контрактной системе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 члены комиссии по осуществлению закупок рассматривают заявки на участие в закупке, информацию и документы, направленные оператором электронной площадки в соответствии с </w:t>
      </w:r>
      <w:hyperlink w:history="0" r:id="rId3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4 части 4 статьи 49</w:t>
        </w:r>
      </w:hyperlink>
      <w:r>
        <w:rPr>
          <w:sz w:val="24"/>
        </w:rPr>
        <w:t xml:space="preserve"> Закона о контрактной системе,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history="0" r:id="rId3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пунктами 1</w:t>
        </w:r>
      </w:hyperlink>
      <w:r>
        <w:rPr>
          <w:sz w:val="24"/>
        </w:rPr>
        <w:t xml:space="preserve"> - </w:t>
      </w:r>
      <w:hyperlink w:history="0" r:id="rId4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8 части 12 статьи 48</w:t>
        </w:r>
      </w:hyperlink>
      <w:r>
        <w:rPr>
          <w:sz w:val="24"/>
        </w:rPr>
        <w:t xml:space="preserve"> Закона о контрактной системе.</w:t>
      </w:r>
    </w:p>
    <w:p>
      <w:pPr>
        <w:pStyle w:val="0"/>
        <w:spacing w:before="240" w:lineRule="auto"/>
        <w:ind w:firstLine="540"/>
        <w:jc w:val="both"/>
      </w:pPr>
      <w:r>
        <w:rPr>
          <w:sz w:val="24"/>
        </w:rPr>
        <w:t xml:space="preserve">Комиссией установлено, что объектом закупки является светильник операционный (код в каталоге товаров, работ, услуг - 32.50.50.190-00002967).</w:t>
      </w:r>
    </w:p>
    <w:p>
      <w:pPr>
        <w:pStyle w:val="0"/>
        <w:spacing w:before="240" w:lineRule="auto"/>
        <w:ind w:firstLine="540"/>
        <w:jc w:val="both"/>
      </w:pPr>
      <w:r>
        <w:rPr>
          <w:sz w:val="24"/>
        </w:rPr>
        <w:t xml:space="preserve">При этом Заказчиком в Извещении в том числе установлены следующие характеристики объекта закупки:</w:t>
      </w:r>
    </w:p>
    <w:p>
      <w:pPr>
        <w:pStyle w:val="0"/>
        <w:spacing w:before="240" w:lineRule="auto"/>
        <w:ind w:firstLine="540"/>
        <w:jc w:val="both"/>
      </w:pPr>
      <w:r>
        <w:rPr>
          <w:sz w:val="24"/>
        </w:rPr>
        <w:t xml:space="preserve">- цветовая температура со значением характеристики "&gt; 4500 К" (далее - Характеристика N 1);</w:t>
      </w:r>
    </w:p>
    <w:p>
      <w:pPr>
        <w:pStyle w:val="0"/>
        <w:spacing w:before="240" w:lineRule="auto"/>
        <w:ind w:firstLine="540"/>
        <w:jc w:val="both"/>
      </w:pPr>
      <w:r>
        <w:rPr>
          <w:sz w:val="24"/>
        </w:rPr>
        <w:t xml:space="preserve">- пульт управления со значением характеристики "да" (далее - Характеристика N 2).</w:t>
      </w:r>
    </w:p>
    <w:p>
      <w:pPr>
        <w:pStyle w:val="0"/>
        <w:spacing w:before="240" w:lineRule="auto"/>
        <w:ind w:firstLine="540"/>
        <w:jc w:val="both"/>
      </w:pPr>
      <w:r>
        <w:rPr>
          <w:sz w:val="24"/>
        </w:rPr>
        <w:t xml:space="preserve">Победителем в заявке на участие в Аукционе представлено предложение в отношении объекта закупки - FotonFLY 5М-А (далее - Товар) с указанием следующих показателей вышеуказанных характеристик:</w:t>
      </w:r>
    </w:p>
    <w:p>
      <w:pPr>
        <w:pStyle w:val="0"/>
        <w:spacing w:before="240" w:lineRule="auto"/>
        <w:ind w:firstLine="540"/>
        <w:jc w:val="both"/>
      </w:pPr>
      <w:r>
        <w:rPr>
          <w:sz w:val="24"/>
        </w:rPr>
        <w:t xml:space="preserve">- цветовая температура со значением характеристики "4500 К";</w:t>
      </w:r>
    </w:p>
    <w:p>
      <w:pPr>
        <w:pStyle w:val="0"/>
        <w:spacing w:before="240" w:lineRule="auto"/>
        <w:ind w:firstLine="540"/>
        <w:jc w:val="both"/>
      </w:pPr>
      <w:r>
        <w:rPr>
          <w:sz w:val="24"/>
        </w:rPr>
        <w:t xml:space="preserve">- пульт управления со значением характеристики "да".</w:t>
      </w:r>
    </w:p>
    <w:p>
      <w:pPr>
        <w:pStyle w:val="0"/>
        <w:spacing w:before="240" w:lineRule="auto"/>
        <w:ind w:firstLine="540"/>
        <w:jc w:val="both"/>
      </w:pPr>
      <w:r>
        <w:rPr>
          <w:sz w:val="24"/>
        </w:rPr>
        <w:t xml:space="preserve">Вместе с тем Комиссией установлено, что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(далее - Реестр), содержится руководство по эксплуатации товара, предложенного к поставке Победителем (далее - Руководство). В соответствии с Руководством Характеристика N 1 Товара имеет значение "4000 К (+150 К -150 К)", указание на Характеристику N 2 в Руководстве отсутствует, что позволяет сделать вывод о том, что пульт управления для Товара не предусмотрен.</w:t>
      </w:r>
    </w:p>
    <w:p>
      <w:pPr>
        <w:pStyle w:val="0"/>
        <w:spacing w:before="240" w:lineRule="auto"/>
        <w:ind w:firstLine="540"/>
        <w:jc w:val="both"/>
      </w:pPr>
      <w:r>
        <w:rPr>
          <w:sz w:val="24"/>
        </w:rPr>
        <w:t xml:space="preserve">Представитель Заказчика на заседании Комиссии пояснил, что Комиссия по осуществлению закупок проверила характеристики, указанные в заявке, на соответствие характеристикам, указанным в Извещении, и приняла решение о соответствии заявки Победителя требованиям Извещения и </w:t>
      </w:r>
      <w:hyperlink w:history="0" r:id="rId4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spacing w:before="240" w:lineRule="auto"/>
        <w:ind w:firstLine="540"/>
        <w:jc w:val="both"/>
      </w:pPr>
      <w:r>
        <w:rPr>
          <w:sz w:val="24"/>
        </w:rPr>
        <w:t xml:space="preserve">Ввиду изложенного Комиссия пришла к выводу, что действия Комиссии по осуществлению закупок, выразившиеся в неправомерном признании заявки Победителя соответствующей требованиям Извещения и </w:t>
      </w:r>
      <w:hyperlink w:history="0" r:id="rId4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 нарушают </w:t>
      </w:r>
      <w:hyperlink w:history="0" r:id="rId4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 "а" пункта 1 части 5 статьи 49</w:t>
        </w:r>
      </w:hyperlink>
      <w:r>
        <w:rPr>
          <w:sz w:val="24"/>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предусмотрена </w:t>
      </w:r>
      <w:hyperlink w:history="0" r:id="rId44"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7 статьи 7.30.1</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Не согласившись с </w:t>
      </w:r>
      <w:hyperlink w:history="0" r:id="rId45" w:tooltip="Ссылка на КонсультантПлюс">
        <w:r>
          <w:rPr>
            <w:sz w:val="24"/>
            <w:color w:val="0000ff"/>
          </w:rPr>
          <w:t xml:space="preserve">решением</w:t>
        </w:r>
      </w:hyperlink>
      <w:r>
        <w:rPr>
          <w:sz w:val="24"/>
        </w:rPr>
        <w:t xml:space="preserve"> ФАС России от 24.07.2025 по делу N 25/44/99/П25 (далее - Решение ФАС России), Уполномоченный орган обжаловал его в судебном порядке.</w:t>
      </w:r>
    </w:p>
    <w:p>
      <w:pPr>
        <w:pStyle w:val="0"/>
        <w:spacing w:before="240" w:lineRule="auto"/>
        <w:ind w:firstLine="540"/>
        <w:jc w:val="both"/>
      </w:pPr>
      <w:r>
        <w:rPr>
          <w:sz w:val="24"/>
        </w:rPr>
        <w:t xml:space="preserve">Арбитражным судом города Москвы в удовлетворении требований Уполномоченного органа отказано, а </w:t>
      </w:r>
      <w:hyperlink w:history="0" r:id="rId46" w:tooltip="Ссылка на КонсультантПлюс">
        <w:r>
          <w:rPr>
            <w:sz w:val="24"/>
            <w:color w:val="0000ff"/>
          </w:rPr>
          <w:t xml:space="preserve">Решение</w:t>
        </w:r>
      </w:hyperlink>
      <w:r>
        <w:rPr>
          <w:sz w:val="24"/>
        </w:rPr>
        <w:t xml:space="preserve"> ФАС России признано законным и обоснованным. В части доводов Уполномоченного органа отмечено:</w:t>
      </w:r>
    </w:p>
    <w:p>
      <w:pPr>
        <w:pStyle w:val="0"/>
        <w:spacing w:before="240" w:lineRule="auto"/>
        <w:ind w:firstLine="540"/>
        <w:jc w:val="both"/>
      </w:pPr>
      <w:r>
        <w:rPr>
          <w:sz w:val="24"/>
          <w:i w:val="on"/>
        </w:rPr>
        <w:t xml:space="preserve">"Так, руководство по эксплуатации и инструкция по применению, являясь частью регистрационного досье на медицинское изделие, размещенного в Реестре медицинских изделий, являются надлежащим источником для подтверждения достоверности характеристик медицинского изделия.</w:t>
      </w:r>
    </w:p>
    <w:p>
      <w:pPr>
        <w:pStyle w:val="0"/>
        <w:spacing w:before="240" w:lineRule="auto"/>
        <w:ind w:firstLine="540"/>
        <w:jc w:val="both"/>
      </w:pPr>
      <w:r>
        <w:rPr>
          <w:sz w:val="24"/>
          <w:i w:val="on"/>
        </w:rPr>
        <w:t xml:space="preserve">При этом для проверки сведений, указанных в заявке участника закупки, о предлагаемом к поставке товаре, являющимся медицинским изделием, достаточно общедоступных данных, полученных из официального источника информации о медицинских изделиях - Реестра медицинских изделий.</w:t>
      </w:r>
    </w:p>
    <w:p>
      <w:pPr>
        <w:pStyle w:val="0"/>
        <w:spacing w:before="240" w:lineRule="auto"/>
        <w:ind w:firstLine="540"/>
        <w:jc w:val="both"/>
      </w:pPr>
      <w:r>
        <w:rPr>
          <w:sz w:val="24"/>
          <w:i w:val="on"/>
        </w:rPr>
        <w:t xml:space="preserve">Согласно </w:t>
      </w:r>
      <w:hyperlink w:history="0" r:id="rId47" w:tooltip="Постановление Правительства РФ от 30.09.2021 N 1650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 ------------ Недействующая редакция {КонсультантПлюс}">
        <w:r>
          <w:rPr>
            <w:sz w:val="24"/>
            <w:color w:val="0000ff"/>
            <w:i w:val="on"/>
          </w:rPr>
          <w:t xml:space="preserve">пункту 9</w:t>
        </w:r>
      </w:hyperlink>
      <w:r>
        <w:rPr>
          <w:sz w:val="24"/>
          <w:i w:val="on"/>
        </w:rPr>
        <w:t xml:space="preserve">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утвержденных Постановлением Правительства Российской Федерации от 30.09.2021 N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сведения, содержащиеся в Реестре медицинских изделий, размещаются на официальном сайте Федеральной службы по надзору в сфере здравоохранения в сети Интернет. Сведения, содержащиеся в Реестре медицинских изделий, обновляются ежедневно с сохранением всех редакций.</w:t>
      </w:r>
    </w:p>
    <w:p>
      <w:pPr>
        <w:pStyle w:val="0"/>
        <w:spacing w:before="240" w:lineRule="auto"/>
        <w:ind w:firstLine="540"/>
        <w:jc w:val="both"/>
      </w:pPr>
      <w:r>
        <w:rPr>
          <w:sz w:val="24"/>
          <w:i w:val="on"/>
        </w:rPr>
        <w:t xml:space="preserve">На основании вышеизложенного в настоящем деле Комиссии по осуществлению закупок надлежало проверить характеристики Товара, являющегося медицинским изделием, указанные в заявке, на соответствие характеристикам, указанным в регистрационном досье медицинского изделия, предложенного к поставке Победителем, для подтверждения достоверности информации, содержащейся в указанной заявке".</w:t>
      </w:r>
    </w:p>
    <w:p>
      <w:pPr>
        <w:pStyle w:val="0"/>
        <w:spacing w:before="240" w:lineRule="auto"/>
        <w:ind w:firstLine="540"/>
        <w:jc w:val="both"/>
      </w:pPr>
      <w:r>
        <w:rPr>
          <w:sz w:val="24"/>
        </w:rPr>
        <w:t xml:space="preserve">С учетом изложенного Уполномоченному органу отказано в удовлетворении заявленных требований.</w:t>
      </w:r>
    </w:p>
    <w:p>
      <w:pPr>
        <w:pStyle w:val="0"/>
        <w:spacing w:before="240" w:lineRule="auto"/>
        <w:ind w:firstLine="540"/>
        <w:jc w:val="both"/>
      </w:pPr>
      <w:r>
        <w:rPr>
          <w:sz w:val="24"/>
        </w:rPr>
        <w:t xml:space="preserve">(</w:t>
      </w:r>
      <w:hyperlink w:history="0" r:id="rId48" w:tooltip="Ссылка на КонсультантПлюс">
        <w:r>
          <w:rPr>
            <w:sz w:val="24"/>
            <w:color w:val="0000ff"/>
          </w:rPr>
          <w:t xml:space="preserve">Решение</w:t>
        </w:r>
      </w:hyperlink>
      <w:r>
        <w:rPr>
          <w:sz w:val="24"/>
        </w:rPr>
        <w:t xml:space="preserve"> Арбитражного суда г. Москвы от 16.01.2026 по делу N А40-257441/25-147-2037)</w:t>
      </w:r>
    </w:p>
    <w:p>
      <w:pPr>
        <w:pStyle w:val="0"/>
        <w:ind w:firstLine="540"/>
        <w:jc w:val="both"/>
      </w:pPr>
      <w:r>
        <w:rPr>
          <w:sz w:val="24"/>
        </w:rPr>
      </w:r>
    </w:p>
    <w:p>
      <w:pPr>
        <w:pStyle w:val="2"/>
        <w:outlineLvl w:val="0"/>
        <w:ind w:firstLine="540"/>
        <w:jc w:val="both"/>
      </w:pPr>
      <w:r>
        <w:rPr>
          <w:sz w:val="24"/>
        </w:rPr>
        <w:t xml:space="preserve">3. Отсутствие в открытой части ЕИС сведений о контракте, заключенном с единственным поставщиком (подрядчиком, исполнителем), при наличии его в реестре контрактов, предусмотренном </w:t>
      </w:r>
      <w:hyperlink w:history="0" r:id="rId4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103</w:t>
        </w:r>
      </w:hyperlink>
      <w:r>
        <w:rPr>
          <w:sz w:val="24"/>
        </w:rPr>
        <w:t xml:space="preserve"> Закона о контрактной системе, не является основанием для признания сведений о таком контракте недостоверными.</w:t>
      </w:r>
    </w:p>
    <w:p>
      <w:pPr>
        <w:pStyle w:val="0"/>
        <w:ind w:firstLine="540"/>
        <w:jc w:val="both"/>
      </w:pPr>
      <w:r>
        <w:rPr>
          <w:sz w:val="24"/>
        </w:rPr>
      </w:r>
    </w:p>
    <w:p>
      <w:pPr>
        <w:pStyle w:val="0"/>
        <w:ind w:firstLine="540"/>
        <w:jc w:val="both"/>
      </w:pPr>
      <w:r>
        <w:rPr>
          <w:sz w:val="24"/>
        </w:rPr>
        <w:t xml:space="preserve">В ФАС России поступила жалоба ООО "Тандем" (далее - Общество) на действия комиссии по осуществлению закупок ФКУ Упрдор Москва - Нижний Новгород (далее - Комиссия по осуществлению закупок) при проведении ФКУ Упрдор Москва - Нижний Новгород (далее - Заказчик), Комиссией по осуществлению закупок, АО "РАД" (далее - Оператор электронной площадки) открытого конкурса в электронной форме на право заключения контракта на выполнение работ по содержанию автомобильных дорог: Р-178 Саранск - Сурское - Ульяновск км 8 + 050 - км 97 + 900; М-5 "Урал" Москва - Рязань - Пенза - Самара - Уфа - Челябинск, подъезд к г. Саранск км 0 + 000 - км 79 + 370, км 89 + 020 - км 185 + 000; М-5 "Урал" Москва - Рязань - Пенза - Самара - Уфа - Челябинск, подъезд к г. Саранск, обход г. Краснослободск км 78 + 650 - км 89 + 850; М-5 "Урал" Москва - Рязань - Пенза - Самара - Уфа - Челябинск, подъезд к г. Саранск, обход г. Саранск км 185 + 000 - км 195 + 070, Республика Мордовия (номер извещения в ЕИС - 0348100006025000018) (далее - Конкурс, Жалоба).</w:t>
      </w:r>
    </w:p>
    <w:p>
      <w:pPr>
        <w:pStyle w:val="0"/>
        <w:spacing w:before="240" w:lineRule="auto"/>
        <w:ind w:firstLine="540"/>
        <w:jc w:val="both"/>
      </w:pPr>
      <w:r>
        <w:rPr>
          <w:sz w:val="24"/>
        </w:rPr>
        <w:t xml:space="preserve">Комиссией ФАС России по результатам рассмотрения Жалобы и в результате осуществления внеплановой проверки в соответствии с </w:t>
      </w:r>
      <w:hyperlink w:history="0" r:id="rId5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15 статьи 99</w:t>
        </w:r>
      </w:hyperlink>
      <w:r>
        <w:rPr>
          <w:sz w:val="24"/>
        </w:rPr>
        <w:t xml:space="preserve"> Закона о контрактной системе принято </w:t>
      </w:r>
      <w:hyperlink w:history="0" r:id="rId51" w:tooltip="Ссылка на КонсультантПлюс">
        <w:r>
          <w:rPr>
            <w:sz w:val="24"/>
            <w:color w:val="0000ff"/>
          </w:rPr>
          <w:t xml:space="preserve">решение</w:t>
        </w:r>
      </w:hyperlink>
      <w:r>
        <w:rPr>
          <w:sz w:val="24"/>
        </w:rPr>
        <w:t xml:space="preserve"> ФАС России от 18.06.2025 N 28/06/105-3003/2025 (далее - Решение ФАС России), в действиях Комиссии по осуществлению закупок выявлено нарушение требований </w:t>
      </w:r>
      <w:hyperlink w:history="0" r:id="rId5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"а" пункта 1 части 11 статьи 48</w:t>
        </w:r>
      </w:hyperlink>
      <w:r>
        <w:rPr>
          <w:sz w:val="24"/>
        </w:rPr>
        <w:t xml:space="preserve"> Закона о контрактной системе, выдано </w:t>
      </w:r>
      <w:hyperlink w:history="0" r:id="rId53" w:tooltip="Ссылка на КонсультантПлюс">
        <w:r>
          <w:rPr>
            <w:sz w:val="24"/>
            <w:color w:val="0000ff"/>
          </w:rPr>
          <w:t xml:space="preserve">предписание</w:t>
        </w:r>
      </w:hyperlink>
      <w:r>
        <w:rPr>
          <w:sz w:val="24"/>
        </w:rPr>
        <w:t xml:space="preserve"> ФАС России от 18.06.2025 N 28/06/105-3003/2025 (далее - Предписание ФАС России), направленное на восстановление нарушенных прав.</w:t>
      </w:r>
    </w:p>
    <w:p>
      <w:pPr>
        <w:pStyle w:val="0"/>
        <w:spacing w:before="240" w:lineRule="auto"/>
        <w:ind w:firstLine="540"/>
        <w:jc w:val="both"/>
      </w:pPr>
      <w:r>
        <w:rPr>
          <w:sz w:val="24"/>
        </w:rPr>
        <w:t xml:space="preserve">По мнению Общества, его права и законные интересы нарушены действиями Комиссии по осуществлению закупок, неправомерно принявшей решение о признании заявки Общества не соответствующей требованиям </w:t>
      </w:r>
      <w:hyperlink w:history="0" r:id="rId5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 по причине выявления недостоверных сведений в составе заявки на участие в Конкурсе.</w:t>
      </w:r>
    </w:p>
    <w:p>
      <w:pPr>
        <w:pStyle w:val="0"/>
        <w:spacing w:before="240" w:lineRule="auto"/>
        <w:ind w:firstLine="540"/>
        <w:jc w:val="both"/>
      </w:pPr>
      <w:r>
        <w:rPr>
          <w:sz w:val="24"/>
        </w:rPr>
        <w:t xml:space="preserve">Согласно Извещению Заказчиком установлены дополнительные требования к участникам закупки, предусмотренные </w:t>
      </w:r>
      <w:hyperlink w:history="0" r:id="rId55"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18</w:t>
        </w:r>
      </w:hyperlink>
      <w:r>
        <w:rPr>
          <w:sz w:val="24"/>
        </w:rPr>
        <w:t xml:space="preserve"> приложения к Постановлению Правительства Российской Федерации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(далее - Постановление N 2571).</w:t>
      </w:r>
    </w:p>
    <w:p>
      <w:pPr>
        <w:pStyle w:val="0"/>
        <w:spacing w:before="240" w:lineRule="auto"/>
        <w:ind w:firstLine="540"/>
        <w:jc w:val="both"/>
      </w:pPr>
      <w:r>
        <w:rPr>
          <w:sz w:val="24"/>
        </w:rPr>
        <w:t xml:space="preserve">На заседании Комиссии ФАС России установлено, что Оператором электронной площадки направлены в адрес Заказчика следующие документы, подтверждающие соответствие Победителя дополнительным требованиям, предусмотренным </w:t>
      </w:r>
      <w:hyperlink w:history="0" r:id="rId56"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пунктом 1 позиции 18</w:t>
        </w:r>
      </w:hyperlink>
      <w:r>
        <w:rPr>
          <w:sz w:val="24"/>
        </w:rPr>
        <w:t xml:space="preserve"> приложения к Постановлению N 2571, размещенные в реестре участников закупок, аккредитованных на электронной площадке:</w:t>
      </w:r>
    </w:p>
    <w:p>
      <w:pPr>
        <w:pStyle w:val="0"/>
        <w:spacing w:before="240" w:lineRule="auto"/>
        <w:ind w:firstLine="540"/>
        <w:jc w:val="both"/>
      </w:pPr>
      <w:r>
        <w:rPr>
          <w:sz w:val="24"/>
        </w:rPr>
        <w:t xml:space="preserve">- номер реестровой записи контракта от 31.03.2023 N 263/23, заключенного между Заявителем и ГКУ "Управление строительства и дорожного хозяйства Пензенской области", на выполнение работ по капитальному ремонту автомобильной дороги "г. Пенза - р. п. Лунино - граница области" км 81 + 000 - км 88 + 060 Лунинского района Пензенской области из реестра контрактов, размещенного в ЕИС - 2583601371723000079 (далее - Контракт);</w:t>
      </w:r>
    </w:p>
    <w:p>
      <w:pPr>
        <w:pStyle w:val="0"/>
        <w:spacing w:before="240" w:lineRule="auto"/>
        <w:ind w:firstLine="540"/>
        <w:jc w:val="both"/>
      </w:pPr>
      <w:r>
        <w:rPr>
          <w:sz w:val="24"/>
        </w:rPr>
        <w:t xml:space="preserve">- копия Контракта;</w:t>
      </w:r>
    </w:p>
    <w:p>
      <w:pPr>
        <w:pStyle w:val="0"/>
        <w:spacing w:before="240" w:lineRule="auto"/>
        <w:ind w:firstLine="540"/>
        <w:jc w:val="both"/>
      </w:pPr>
      <w:r>
        <w:rPr>
          <w:sz w:val="24"/>
        </w:rPr>
        <w:t xml:space="preserve">- копия акта выполненных работ, подтверждающего цену выполненных работ.</w:t>
      </w:r>
    </w:p>
    <w:p>
      <w:pPr>
        <w:pStyle w:val="0"/>
        <w:spacing w:before="240" w:lineRule="auto"/>
        <w:ind w:firstLine="540"/>
        <w:jc w:val="both"/>
      </w:pPr>
      <w:r>
        <w:rPr>
          <w:sz w:val="24"/>
        </w:rPr>
        <w:t xml:space="preserve">Обоснование Заказчиком своих неправомерных действий сводилось к тому, что информация о представленном Обществом в качестве подтверждения соответствия дополнительным требованиям Контракте скрыта в реестре контрактов, размещенном в ЕИС, в связи с чем Комиссия по осуществлению закупок пришла к выводу, что Контракт не заключался и не исполнялся.</w:t>
      </w:r>
    </w:p>
    <w:p>
      <w:pPr>
        <w:pStyle w:val="0"/>
        <w:spacing w:before="240" w:lineRule="auto"/>
        <w:ind w:firstLine="540"/>
        <w:jc w:val="both"/>
      </w:pPr>
      <w:r>
        <w:rPr>
          <w:sz w:val="24"/>
        </w:rPr>
        <w:t xml:space="preserve">Вместе с тем Контракт заключен на основании </w:t>
      </w:r>
      <w:hyperlink w:history="0" r:id="rId57" w:tooltip="Федеральный закон от 08.03.2022 N 46-ФЗ (ред. от 28.12.2025) &quot;О внесении изменений в отдельные законодательные акты Российской Федерации&quot; (с изм. и доп., вступ. в силу с 01.02.2026) ------------ Недействующая редакция {КонсультантПлюс}">
        <w:r>
          <w:rPr>
            <w:sz w:val="24"/>
            <w:color w:val="0000ff"/>
          </w:rPr>
          <w:t xml:space="preserve">части 2 статьи 15</w:t>
        </w:r>
      </w:hyperlink>
      <w:r>
        <w:rPr>
          <w:sz w:val="24"/>
        </w:rPr>
        <w:t xml:space="preserve"> Федерального закона от 08.03.2022 N 46-ФЗ (далее в редакции, действовавшей на момент заключения Контракта, то есть 31.03.2023) "О внесении изменений в отдельные законодательные акты Российской Федерации" (далее - Закон N 46-ФЗ).</w:t>
      </w:r>
    </w:p>
    <w:p>
      <w:pPr>
        <w:pStyle w:val="0"/>
        <w:spacing w:before="240" w:lineRule="auto"/>
        <w:ind w:firstLine="540"/>
        <w:jc w:val="both"/>
      </w:pPr>
      <w:r>
        <w:rPr>
          <w:sz w:val="24"/>
        </w:rPr>
        <w:t xml:space="preserve">В соответствии с </w:t>
      </w:r>
      <w:hyperlink w:history="0" r:id="rId58" w:tooltip="Федеральный закон от 08.03.2022 N 46-ФЗ (ред. от 28.12.2025) &quot;О внесении изменений в отдельные законодательные акты Российской Федерации&quot; (с изм. и доп., вступ. в силу с 01.02.2026) ------------ Недействующая редакция {КонсультантПлюс}">
        <w:r>
          <w:rPr>
            <w:sz w:val="24"/>
            <w:color w:val="0000ff"/>
          </w:rPr>
          <w:t xml:space="preserve">частью 4 статьи 15</w:t>
        </w:r>
      </w:hyperlink>
      <w:r>
        <w:rPr>
          <w:sz w:val="24"/>
        </w:rPr>
        <w:t xml:space="preserve"> Закона N 46-ФЗ информация о контрактах, заключенных при осуществлении закупок у единственного поставщика (подрядчика, исполнителя), включается в соответствующий реестр контрактов, заключенных заказчиками, предусмотренный </w:t>
      </w:r>
      <w:hyperlink w:history="0" r:id="rId5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103</w:t>
        </w:r>
      </w:hyperlink>
      <w:r>
        <w:rPr>
          <w:sz w:val="24"/>
        </w:rPr>
        <w:t xml:space="preserve"> Закона о контрактной системе, размещенный в ЕИС, но не размещаются на официальном сайте ЕИС в информационно-телекоммуникационной сети Интернет.</w:t>
      </w:r>
    </w:p>
    <w:p>
      <w:pPr>
        <w:pStyle w:val="0"/>
        <w:spacing w:before="240" w:lineRule="auto"/>
        <w:ind w:firstLine="540"/>
        <w:jc w:val="both"/>
      </w:pPr>
      <w:r>
        <w:rPr>
          <w:sz w:val="24"/>
        </w:rPr>
        <w:t xml:space="preserve">Так, отсутствие возможности размещения на официальном сайте ЕИС информации о контрактах, заключенных в порядке </w:t>
      </w:r>
      <w:hyperlink w:history="0" r:id="rId60" w:tooltip="Федеральный закон от 08.03.2022 N 46-ФЗ (ред. от 28.12.2025) &quot;О внесении изменений в отдельные законодательные акты Российской Федерации&quot; (с изм. и доп., вступ. в силу с 01.02.2026) ------------ Недействующая редакция {КонсультантПлюс}">
        <w:r>
          <w:rPr>
            <w:sz w:val="24"/>
            <w:color w:val="0000ff"/>
          </w:rPr>
          <w:t xml:space="preserve">Закона</w:t>
        </w:r>
      </w:hyperlink>
      <w:r>
        <w:rPr>
          <w:sz w:val="24"/>
        </w:rPr>
        <w:t xml:space="preserve"> N 46-ФЗ, а также информации о приемке поставленного товара, оказанной услуги, выполненной работы не исключает необходимость размещения такой информации в реестре контрактов, заключенных заказчиками, в ЕИС, что и было сделано заказчиком по Контракту.</w:t>
      </w:r>
    </w:p>
    <w:p>
      <w:pPr>
        <w:pStyle w:val="0"/>
        <w:spacing w:before="240" w:lineRule="auto"/>
        <w:ind w:firstLine="540"/>
        <w:jc w:val="both"/>
      </w:pPr>
      <w:r>
        <w:rPr>
          <w:sz w:val="24"/>
        </w:rPr>
        <w:t xml:space="preserve">При этом Оператором электронной площадки в адрес Заказчика направлено также изображение из реестра контрактов, заключенных заказчиками, подтверждающее факт наличия в ЕИС Контракта, что подтверждается сведениями государственной информационной системы "Независимый регистратор", предназначенной для фиксации действий участников закупок в процессе проведения торгов на электронных площадках и в ЕИС.</w:t>
      </w:r>
    </w:p>
    <w:p>
      <w:pPr>
        <w:pStyle w:val="0"/>
        <w:spacing w:before="240" w:lineRule="auto"/>
        <w:ind w:firstLine="540"/>
        <w:jc w:val="both"/>
      </w:pPr>
      <w:r>
        <w:rPr>
          <w:sz w:val="24"/>
        </w:rPr>
        <w:t xml:space="preserve">Вместе с тем у Комиссии по осуществлению закупок отсутствовали основания для отклонения заявки Общества, так как Оператором электронной площадки направлен в адрес Комиссии по осуществлению закупок комплект документов Общества, предусмотренный </w:t>
      </w:r>
      <w:hyperlink w:history="0" r:id="rId61"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пунктом 1 позиции 18</w:t>
        </w:r>
      </w:hyperlink>
      <w:r>
        <w:rPr>
          <w:sz w:val="24"/>
        </w:rPr>
        <w:t xml:space="preserve"> приложения к Постановлению N 2571, а именно копия Контракта и копия акта выполненных работ, подтверждающего цену выполненных работ.</w:t>
      </w:r>
    </w:p>
    <w:p>
      <w:pPr>
        <w:pStyle w:val="0"/>
        <w:spacing w:before="240" w:lineRule="auto"/>
        <w:ind w:firstLine="540"/>
        <w:jc w:val="both"/>
      </w:pPr>
      <w:r>
        <w:rPr>
          <w:sz w:val="24"/>
        </w:rPr>
        <w:t xml:space="preserve">С учетом изложенного действия Комиссии по осуществлению закупок, неправомерно отклонившей заявку Заявителя по причине выявления недостоверных сведений в составе заявки на участие в Конкурсе, нарушают положения </w:t>
      </w:r>
      <w:hyperlink w:history="0" r:id="rId6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"а" пункта 1 части 11 статьи 48</w:t>
        </w:r>
      </w:hyperlink>
      <w:r>
        <w:rPr>
          <w:sz w:val="24"/>
        </w:rPr>
        <w:t xml:space="preserve"> Закона о контрактной системе.</w:t>
      </w:r>
    </w:p>
    <w:p>
      <w:pPr>
        <w:pStyle w:val="0"/>
        <w:spacing w:before="240" w:lineRule="auto"/>
        <w:ind w:firstLine="540"/>
        <w:jc w:val="both"/>
      </w:pPr>
      <w:r>
        <w:rPr>
          <w:sz w:val="24"/>
        </w:rPr>
        <w:t xml:space="preserve">Не согласившись с </w:t>
      </w:r>
      <w:hyperlink w:history="0" r:id="rId63" w:tooltip="Ссылка на КонсультантПлюс">
        <w:r>
          <w:rPr>
            <w:sz w:val="24"/>
            <w:color w:val="0000ff"/>
          </w:rPr>
          <w:t xml:space="preserve">Решением</w:t>
        </w:r>
      </w:hyperlink>
      <w:r>
        <w:rPr>
          <w:sz w:val="24"/>
        </w:rPr>
        <w:t xml:space="preserve"> и </w:t>
      </w:r>
      <w:hyperlink w:history="0" r:id="rId64" w:tooltip="Ссылка на КонсультантПлюс">
        <w:r>
          <w:rPr>
            <w:sz w:val="24"/>
            <w:color w:val="0000ff"/>
          </w:rPr>
          <w:t xml:space="preserve">Предписанием</w:t>
        </w:r>
      </w:hyperlink>
      <w:r>
        <w:rPr>
          <w:sz w:val="24"/>
        </w:rPr>
        <w:t xml:space="preserve"> ФАС России, Заказчик обжаловал их в судебном порядке.</w:t>
      </w:r>
    </w:p>
    <w:p>
      <w:pPr>
        <w:pStyle w:val="0"/>
        <w:spacing w:before="240" w:lineRule="auto"/>
        <w:ind w:firstLine="540"/>
        <w:jc w:val="both"/>
      </w:pPr>
      <w:r>
        <w:rPr>
          <w:sz w:val="24"/>
        </w:rPr>
        <w:t xml:space="preserve">Девятый арбитражный апелляционный суд, оставивший без изменений </w:t>
      </w:r>
      <w:hyperlink w:history="0" r:id="rId65" w:tooltip="Ссылка на КонсультантПлюс">
        <w:r>
          <w:rPr>
            <w:sz w:val="24"/>
            <w:color w:val="0000ff"/>
          </w:rPr>
          <w:t xml:space="preserve">решение</w:t>
        </w:r>
      </w:hyperlink>
      <w:r>
        <w:rPr>
          <w:sz w:val="24"/>
        </w:rPr>
        <w:t xml:space="preserve"> Арбитражного суда города Москвы, которым отказано в удовлетворении требований Заказчика, указал следующее:</w:t>
      </w:r>
    </w:p>
    <w:p>
      <w:pPr>
        <w:pStyle w:val="0"/>
        <w:spacing w:before="240" w:lineRule="auto"/>
        <w:ind w:firstLine="540"/>
        <w:jc w:val="both"/>
      </w:pPr>
      <w:r>
        <w:rPr>
          <w:sz w:val="24"/>
          <w:i w:val="on"/>
        </w:rPr>
        <w:t xml:space="preserve">"Кроме всего прочего судебная коллегия отмечает, что Заявителем по тексту апелляционной жалобы не приводится ни одного довода или доказательства опровергающего выводы ФАС России относительно непредоставления Обществом недостоверных сведений, при этом Заявитель не направлял запрос о подтверждении договорных правоотношений в адрес заказчика по Контракту, что также контрпродуктивно относительно его собственных же доводов о недостоверной информации по Контракту.</w:t>
      </w:r>
    </w:p>
    <w:p>
      <w:pPr>
        <w:pStyle w:val="0"/>
        <w:spacing w:before="240" w:lineRule="auto"/>
        <w:ind w:firstLine="540"/>
        <w:jc w:val="both"/>
      </w:pPr>
      <w:r>
        <w:rPr>
          <w:sz w:val="24"/>
          <w:i w:val="on"/>
        </w:rPr>
        <w:t xml:space="preserve">Учитывая изложенное, Комиссия ФАС России правомерно пришла к выводу, что действия Комиссии по осуществлению закупок, неправомерно отклонившей заявку Общества, нарушают положения </w:t>
      </w:r>
      <w:hyperlink w:history="0" r:id="rId6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подпункта "а" пункта 1 части 11 статьи 48</w:t>
        </w:r>
      </w:hyperlink>
      <w:r>
        <w:rPr>
          <w:sz w:val="24"/>
          <w:i w:val="on"/>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предусмотрена </w:t>
      </w:r>
      <w:hyperlink w:history="0" r:id="rId67"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i w:val="on"/>
          </w:rPr>
          <w:t xml:space="preserve">Кодексом</w:t>
        </w:r>
      </w:hyperlink>
      <w:r>
        <w:rPr>
          <w:sz w:val="24"/>
          <w:i w:val="on"/>
        </w:rPr>
        <w:t xml:space="preserve"> Российской Федерации об административных правонарушениях.</w:t>
      </w:r>
    </w:p>
    <w:p>
      <w:pPr>
        <w:pStyle w:val="0"/>
        <w:spacing w:before="240" w:lineRule="auto"/>
        <w:ind w:firstLine="540"/>
        <w:jc w:val="both"/>
      </w:pPr>
      <w:r>
        <w:rPr>
          <w:sz w:val="24"/>
          <w:i w:val="on"/>
        </w:rPr>
        <w:t xml:space="preserve">Применительно к обстоятельствам настоящего дела у Комиссии ФАС России имелись достаточные правовые и фактические основания для принятия оспариваемого </w:t>
      </w:r>
      <w:hyperlink w:history="0" r:id="rId68" w:tooltip="Ссылка на КонсультантПлюс">
        <w:r>
          <w:rPr>
            <w:sz w:val="24"/>
            <w:color w:val="0000ff"/>
            <w:i w:val="on"/>
          </w:rPr>
          <w:t xml:space="preserve">решения</w:t>
        </w:r>
      </w:hyperlink>
      <w:r>
        <w:rPr>
          <w:sz w:val="24"/>
          <w:i w:val="on"/>
        </w:rPr>
        <w:t xml:space="preserve"> и выдачи на его основе обязательного для исполнения </w:t>
      </w:r>
      <w:hyperlink w:history="0" r:id="rId69" w:tooltip="Ссылка на КонсультантПлюс">
        <w:r>
          <w:rPr>
            <w:sz w:val="24"/>
            <w:color w:val="0000ff"/>
            <w:i w:val="on"/>
          </w:rPr>
          <w:t xml:space="preserve">предписания</w:t>
        </w:r>
      </w:hyperlink>
      <w:r>
        <w:rPr>
          <w:sz w:val="24"/>
          <w:i w:val="on"/>
        </w:rPr>
        <w:t xml:space="preserve">.</w:t>
      </w:r>
    </w:p>
    <w:p>
      <w:pPr>
        <w:pStyle w:val="0"/>
        <w:spacing w:before="240" w:lineRule="auto"/>
        <w:ind w:firstLine="540"/>
        <w:jc w:val="both"/>
      </w:pPr>
      <w:r>
        <w:rPr>
          <w:sz w:val="24"/>
          <w:i w:val="on"/>
        </w:rPr>
        <w:t xml:space="preserve">Указанные в оспариваемом предписании меры соответствуют характеру выявленного антимонопольным органом нарушения.</w:t>
      </w:r>
    </w:p>
    <w:p>
      <w:pPr>
        <w:pStyle w:val="0"/>
        <w:spacing w:before="240" w:lineRule="auto"/>
        <w:ind w:firstLine="540"/>
        <w:jc w:val="both"/>
      </w:pPr>
      <w:r>
        <w:rPr>
          <w:sz w:val="24"/>
          <w:i w:val="on"/>
        </w:rPr>
        <w:t xml:space="preserve">С учетом вышеизложенного права и законные интересы заявителя оспариваемыми </w:t>
      </w:r>
      <w:hyperlink w:history="0" r:id="rId70" w:tooltip="Ссылка на КонсультантПлюс">
        <w:r>
          <w:rPr>
            <w:sz w:val="24"/>
            <w:color w:val="0000ff"/>
            <w:i w:val="on"/>
          </w:rPr>
          <w:t xml:space="preserve">решением</w:t>
        </w:r>
      </w:hyperlink>
      <w:r>
        <w:rPr>
          <w:sz w:val="24"/>
          <w:i w:val="on"/>
        </w:rPr>
        <w:t xml:space="preserve"> и </w:t>
      </w:r>
      <w:hyperlink w:history="0" r:id="rId71" w:tooltip="Ссылка на КонсультантПлюс">
        <w:r>
          <w:rPr>
            <w:sz w:val="24"/>
            <w:color w:val="0000ff"/>
            <w:i w:val="on"/>
          </w:rPr>
          <w:t xml:space="preserve">предписанием</w:t>
        </w:r>
      </w:hyperlink>
      <w:r>
        <w:rPr>
          <w:sz w:val="24"/>
          <w:i w:val="on"/>
        </w:rPr>
        <w:t xml:space="preserve"> антимонопольного органа не могут быть признаны нарушенными".</w:t>
      </w:r>
    </w:p>
    <w:p>
      <w:pPr>
        <w:pStyle w:val="0"/>
        <w:spacing w:before="240" w:lineRule="auto"/>
        <w:ind w:firstLine="540"/>
        <w:jc w:val="both"/>
      </w:pPr>
      <w:r>
        <w:rPr>
          <w:sz w:val="24"/>
        </w:rPr>
        <w:t xml:space="preserve">(</w:t>
      </w:r>
      <w:hyperlink w:history="0" r:id="rId72" w:tooltip="Постановление Девятого арбитражного апелляционного суда от 06.03.2026 N 09АП-65141/2025 по делу N А40-163139/2025 Категория: Споры в сфере закупок для государственных и муниципальных нужд. Требования заказчика: О признании недействительным акта о незаконности недопуска к участию в аукционе по результатам рассмотрения первой части заявки. Обстоятельства: Установлено, что заявка общества была ранее признана комиссией по осуществлению закупок соответствующей требованиям действующего законодательства. Решение:  {КонсультантПлюс}">
        <w:r>
          <w:rPr>
            <w:sz w:val="24"/>
            <w:color w:val="0000ff"/>
          </w:rPr>
          <w:t xml:space="preserve">Постановление</w:t>
        </w:r>
      </w:hyperlink>
      <w:r>
        <w:rPr>
          <w:sz w:val="24"/>
        </w:rPr>
        <w:t xml:space="preserve"> Девятого арбитражного апелляционного суда от 06.03.2026 N 09АП-65141/2025 по делу N А40-163139/2025)</w:t>
      </w:r>
    </w:p>
    <w:p>
      <w:pPr>
        <w:pStyle w:val="0"/>
        <w:ind w:firstLine="540"/>
        <w:jc w:val="both"/>
      </w:pPr>
      <w:r>
        <w:rPr>
          <w:sz w:val="24"/>
        </w:rPr>
      </w:r>
    </w:p>
    <w:p>
      <w:pPr>
        <w:pStyle w:val="2"/>
        <w:outlineLvl w:val="0"/>
        <w:ind w:firstLine="540"/>
        <w:jc w:val="both"/>
      </w:pPr>
      <w:r>
        <w:rPr>
          <w:sz w:val="24"/>
        </w:rPr>
        <w:t xml:space="preserve">4. Объединение в один лот товаров, работ, услуг, образующих разные рынки, не обладающих какими-либо родовыми, однородными признаками, а также не имеющих функциональную и технологическую связь между собой, неправомерно.</w:t>
      </w:r>
    </w:p>
    <w:p>
      <w:pPr>
        <w:pStyle w:val="0"/>
        <w:ind w:firstLine="540"/>
        <w:jc w:val="both"/>
      </w:pPr>
      <w:r>
        <w:rPr>
          <w:sz w:val="24"/>
        </w:rPr>
      </w:r>
    </w:p>
    <w:p>
      <w:pPr>
        <w:pStyle w:val="0"/>
        <w:ind w:firstLine="540"/>
        <w:jc w:val="both"/>
      </w:pPr>
      <w:r>
        <w:rPr>
          <w:sz w:val="24"/>
        </w:rPr>
        <w:t xml:space="preserve">ФАС России рассмотрела обращение о согласовании заключения контракта с единственным поставщиком (подрядчиком, исполнителем) (далее - Обращение), направленное АО "514 АРЗ" (далее - Заказчик) в соответствии с </w:t>
      </w:r>
      <w:hyperlink w:history="0" r:id="rId7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25 части 1 статьи 93</w:t>
        </w:r>
      </w:hyperlink>
      <w:r>
        <w:rPr>
          <w:sz w:val="24"/>
        </w:rPr>
        <w:t xml:space="preserve"> Закона о контрактной системе.</w:t>
      </w:r>
    </w:p>
    <w:p>
      <w:pPr>
        <w:pStyle w:val="0"/>
        <w:spacing w:before="240" w:lineRule="auto"/>
        <w:ind w:firstLine="540"/>
        <w:jc w:val="both"/>
      </w:pPr>
      <w:r>
        <w:rPr>
          <w:sz w:val="24"/>
        </w:rPr>
        <w:t xml:space="preserve">Комиссией установлено, что закупка осуществляется в рамках бюджетных инвестиций в объекты капитального строительства в рамках государственного оборонного заказа.</w:t>
      </w:r>
    </w:p>
    <w:p>
      <w:pPr>
        <w:pStyle w:val="0"/>
        <w:spacing w:before="240" w:lineRule="auto"/>
        <w:ind w:firstLine="540"/>
        <w:jc w:val="both"/>
      </w:pPr>
      <w:hyperlink w:history="0" r:id="rId74"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Пунктом 1</w:t>
        </w:r>
      </w:hyperlink>
      <w:r>
        <w:rPr>
          <w:sz w:val="24"/>
        </w:rPr>
        <w:t xml:space="preserve"> Постановления Правительства Российской Федерации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N 1875) Правительство Российской Федерации постановляет установить при осуществлении закупок в соответствии с </w:t>
      </w:r>
      <w:hyperlink w:history="0" r:id="rId7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и закупок в соответствии с Федеральным </w:t>
      </w:r>
      <w:hyperlink w:history="0" r:id="rId7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history="0" r:id="rId77"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приложению N 1</w:t>
        </w:r>
      </w:hyperlink>
      <w:r>
        <w:rPr>
          <w:sz w:val="24"/>
        </w:rPr>
        <w:t xml:space="preserve"> к Постановлению N 1875, а также закупок </w:t>
      </w:r>
      <w:r>
        <w:rPr>
          <w:sz w:val="24"/>
          <w:b w:val="on"/>
        </w:rPr>
        <w:t xml:space="preserve">в рамках государственного оборонного заказа</w:t>
      </w:r>
      <w:r>
        <w:rPr>
          <w:sz w:val="24"/>
        </w:rPr>
        <w:t xml:space="preserve">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pPr>
        <w:pStyle w:val="0"/>
        <w:spacing w:before="240" w:lineRule="auto"/>
        <w:ind w:firstLine="540"/>
        <w:jc w:val="both"/>
      </w:pPr>
      <w:r>
        <w:rPr>
          <w:sz w:val="24"/>
        </w:rPr>
        <w:t xml:space="preserve">При этом Комиссией установлено, что Заказчиком в Извещении не установлен запрет в соответствии с </w:t>
      </w:r>
      <w:hyperlink w:history="0" r:id="rId78"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пунктом 1</w:t>
        </w:r>
      </w:hyperlink>
      <w:r>
        <w:rPr>
          <w:sz w:val="24"/>
        </w:rPr>
        <w:t xml:space="preserve"> Постановления N 1875, что нарушает </w:t>
      </w:r>
      <w:hyperlink w:history="0" r:id="rId7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15 части 1 статьи 42</w:t>
        </w:r>
      </w:hyperlink>
      <w:r>
        <w:rPr>
          <w:sz w:val="24"/>
        </w:rPr>
        <w:t xml:space="preserve"> Закона о контрактной системе и содержит признаки состава административного правонарушения, предусмотренного </w:t>
      </w:r>
      <w:hyperlink w:history="0" r:id="rId80"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5 статьи 7.30.1</w:t>
        </w:r>
      </w:hyperlink>
      <w:r>
        <w:rPr>
          <w:sz w:val="24"/>
        </w:rPr>
        <w:t xml:space="preserve"> Кодекса Российской Федерации об административных правонарушениях (далее - КоАП).</w:t>
      </w:r>
    </w:p>
    <w:p>
      <w:pPr>
        <w:pStyle w:val="0"/>
        <w:spacing w:before="240" w:lineRule="auto"/>
        <w:ind w:firstLine="540"/>
        <w:jc w:val="both"/>
      </w:pPr>
      <w:hyperlink w:history="0" r:id="rId8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 статьи 33</w:t>
        </w:r>
      </w:hyperlink>
      <w:r>
        <w:rPr>
          <w:sz w:val="24"/>
        </w:rPr>
        <w:t xml:space="preserve"> Закона о контрактной системе установлено, что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w:t>
      </w:r>
    </w:p>
    <w:p>
      <w:pPr>
        <w:pStyle w:val="0"/>
        <w:spacing w:before="240" w:lineRule="auto"/>
        <w:ind w:firstLine="540"/>
        <w:jc w:val="both"/>
      </w:pPr>
      <w:r>
        <w:rPr>
          <w:sz w:val="24"/>
        </w:rPr>
        <w:t xml:space="preserve">Согласно </w:t>
      </w:r>
      <w:hyperlink w:history="0" r:id="rId8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пункту 8 части 1 статьи 33</w:t>
        </w:r>
      </w:hyperlink>
      <w:r>
        <w:rPr>
          <w:sz w:val="24"/>
        </w:rPr>
        <w:t xml:space="preserve"> Закона о контрактной системе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w:t>
      </w:r>
      <w:hyperlink w:history="0" r:id="rId8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не требуется, а также случаев осуществления закупки в соответствии с </w:t>
      </w:r>
      <w:hyperlink w:history="0" r:id="rId8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частями 16</w:t>
        </w:r>
      </w:hyperlink>
      <w:r>
        <w:rPr>
          <w:sz w:val="24"/>
        </w:rPr>
        <w:t xml:space="preserve"> и </w:t>
      </w:r>
      <w:hyperlink w:history="0" r:id="rId8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16.1 статьи 34</w:t>
        </w:r>
      </w:hyperlink>
      <w:r>
        <w:rPr>
          <w:sz w:val="24"/>
        </w:rPr>
        <w:t xml:space="preserve"> Закона о контрактной системе,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w:t>
      </w:r>
      <w:hyperlink w:history="0" r:id="rId8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8 части 1 статьи 33</w:t>
        </w:r>
      </w:hyperlink>
      <w:r>
        <w:rPr>
          <w:sz w:val="24"/>
        </w:rPr>
        <w:t xml:space="preserve"> Закона о контрактной системе является надлежащим исполнением требований </w:t>
      </w:r>
      <w:hyperlink w:history="0" r:id="rId8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пунктов 1</w:t>
        </w:r>
      </w:hyperlink>
      <w:r>
        <w:rPr>
          <w:sz w:val="24"/>
        </w:rPr>
        <w:t xml:space="preserve"> - </w:t>
      </w:r>
      <w:hyperlink w:history="0" r:id="rId8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части 1 статьи 33</w:t>
        </w:r>
      </w:hyperlink>
      <w:r>
        <w:rPr>
          <w:sz w:val="24"/>
        </w:rPr>
        <w:t xml:space="preserve"> Закона о контрактной системе, </w:t>
      </w:r>
      <w:hyperlink w:history="0" r:id="rId8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33</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 </w:t>
      </w:r>
      <w:hyperlink w:history="0" r:id="rId9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63.1 статьи 112</w:t>
        </w:r>
      </w:hyperlink>
      <w:r>
        <w:rPr>
          <w:sz w:val="24"/>
        </w:rPr>
        <w:t xml:space="preserve"> Закона о контрактной системе до 01.01.2026 в случае, если проектной документацией объекта капитального строительства </w:t>
      </w:r>
      <w:r>
        <w:rPr>
          <w:sz w:val="24"/>
          <w:b w:val="on"/>
        </w:rPr>
        <w:t xml:space="preserve">предусмотрено оборудование, необходимое для обеспечения эксплуатации такого объекта</w:t>
      </w:r>
      <w:r>
        <w:rPr>
          <w:sz w:val="24"/>
        </w:rPr>
        <w:t xml:space="preserve">,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pPr>
        <w:pStyle w:val="0"/>
        <w:spacing w:before="240" w:lineRule="auto"/>
        <w:ind w:firstLine="540"/>
        <w:jc w:val="both"/>
      </w:pPr>
      <w:r>
        <w:rPr>
          <w:sz w:val="24"/>
        </w:rPr>
        <w:t xml:space="preserve">Согласно Извещению объектом закупки является выполнение строительно-монтажных работ по объекту "Реконструкция взлетно-посадочной полосы, рулежных дорожек, бетонных площадок и объектов инфраструктуры аэродрома Заказчика".</w:t>
      </w:r>
    </w:p>
    <w:p>
      <w:pPr>
        <w:pStyle w:val="0"/>
        <w:spacing w:before="240" w:lineRule="auto"/>
        <w:ind w:firstLine="540"/>
        <w:jc w:val="both"/>
      </w:pPr>
      <w:r>
        <w:rPr>
          <w:sz w:val="24"/>
        </w:rPr>
        <w:t xml:space="preserve">При этом Комиссией установлено, что согласно локальным сметным расчетам проектной документации описания объекта закупки Извещения (далее - Описание объекта закупки) подрядчик в ходе исполнения контракта обязан осуществить поставку технологического оборудования, например, "Камеры видеонаблюдения", "Монитор", "Светильники" (перечень не является исчерпывающим).</w:t>
      </w:r>
    </w:p>
    <w:p>
      <w:pPr>
        <w:pStyle w:val="0"/>
        <w:spacing w:before="240" w:lineRule="auto"/>
        <w:ind w:firstLine="540"/>
        <w:jc w:val="both"/>
      </w:pPr>
      <w:r>
        <w:rPr>
          <w:sz w:val="24"/>
        </w:rPr>
        <w:t xml:space="preserve">Следовательно, в объект проводимой закупки помимо работ включены обязательства подрядчика по поставке немонтируемого технологического оборудования.</w:t>
      </w:r>
    </w:p>
    <w:p>
      <w:pPr>
        <w:pStyle w:val="0"/>
        <w:spacing w:before="240" w:lineRule="auto"/>
        <w:ind w:firstLine="540"/>
        <w:jc w:val="both"/>
      </w:pPr>
      <w:r>
        <w:rPr>
          <w:sz w:val="24"/>
        </w:rPr>
        <w:t xml:space="preserve">Комиссия отмечает, что в качестве оборудования, необходимого для обеспечения эксплуатации объекта капитального строительства, следует рассматривать оборудование, поставка и установка которого невозможна впоследствии без изменения предусмотренных проектом конструктивных решений объекта строительства, то есть неразрывно связанных с выполняемыми работами (такими как инженерное оборудование, системы вентиляции, искусственного освещения и т.д.), монтаж которых должен осуществляться во время выполнения работ и которые необходимы для ввода объекта в эксплуатацию.</w:t>
      </w:r>
    </w:p>
    <w:p>
      <w:pPr>
        <w:pStyle w:val="0"/>
        <w:spacing w:before="240" w:lineRule="auto"/>
        <w:ind w:firstLine="540"/>
        <w:jc w:val="both"/>
      </w:pPr>
      <w:r>
        <w:rPr>
          <w:sz w:val="24"/>
        </w:rPr>
        <w:t xml:space="preserve">Вместе с тем указанное в Описании объекта закупки немонтируемое технологическое оборудование не относится к оборудованию, обеспечивающему эксплуатацию объекта капитального строительства.</w:t>
      </w:r>
    </w:p>
    <w:p>
      <w:pPr>
        <w:pStyle w:val="0"/>
        <w:spacing w:before="240" w:lineRule="auto"/>
        <w:ind w:firstLine="540"/>
        <w:jc w:val="both"/>
      </w:pPr>
      <w:r>
        <w:rPr>
          <w:sz w:val="24"/>
        </w:rPr>
        <w:t xml:space="preserve">Учитывая изложенное, Комиссия приходит к выводу, что Заказчиком неправомерно осуществлено объединение в один объект закупки выполнения работ и поставки вышеуказанного оборудования, поскольку указанные товары, работы образуют разные товарные рынки, не обладают какими-либо родовыми, однородными признаками, что приводит к необоснованному ограничению количества участников закупки, что нарушает </w:t>
      </w:r>
      <w:hyperlink w:history="0" r:id="rId9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2 статьи 42</w:t>
        </w:r>
      </w:hyperlink>
      <w:r>
        <w:rPr>
          <w:sz w:val="24"/>
        </w:rPr>
        <w:t xml:space="preserve"> Закона о контрактной системе и содержит признаки административного правонарушения, ответственность за совершение которого предусмотрена </w:t>
      </w:r>
      <w:hyperlink w:history="0" r:id="rId92"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5 статьи 7.30.1</w:t>
        </w:r>
      </w:hyperlink>
      <w:r>
        <w:rPr>
          <w:sz w:val="24"/>
        </w:rPr>
        <w:t xml:space="preserve"> КоАП.</w:t>
      </w:r>
    </w:p>
    <w:p>
      <w:pPr>
        <w:pStyle w:val="0"/>
        <w:spacing w:before="240" w:lineRule="auto"/>
        <w:ind w:firstLine="540"/>
        <w:jc w:val="both"/>
      </w:pPr>
      <w:r>
        <w:rPr>
          <w:sz w:val="24"/>
        </w:rPr>
        <w:t xml:space="preserve">Заказчик, не согласившись с </w:t>
      </w:r>
      <w:hyperlink w:history="0" r:id="rId93" w:tooltip="Ссылка на КонсультантПлюс">
        <w:r>
          <w:rPr>
            <w:sz w:val="24"/>
            <w:color w:val="0000ff"/>
          </w:rPr>
          <w:t xml:space="preserve">решением</w:t>
        </w:r>
      </w:hyperlink>
      <w:r>
        <w:rPr>
          <w:sz w:val="24"/>
        </w:rPr>
        <w:t xml:space="preserve"> ФАС России от 08.07.2025 N 25/44/93/331 (далее - Решение ФАС России), обжаловал его в Арбитражном суде города Москвы.</w:t>
      </w:r>
    </w:p>
    <w:p>
      <w:pPr>
        <w:pStyle w:val="0"/>
        <w:spacing w:before="240" w:lineRule="auto"/>
        <w:ind w:firstLine="540"/>
        <w:jc w:val="both"/>
      </w:pPr>
      <w:r>
        <w:rPr>
          <w:sz w:val="24"/>
        </w:rPr>
        <w:t xml:space="preserve">Девятый арбитражный апелляционный суд, оставивший без изменений решение Арбитражного суда города Москвы, которым отказано в удовлетворении требований Заказчика, указал следующее:</w:t>
      </w:r>
    </w:p>
    <w:p>
      <w:pPr>
        <w:pStyle w:val="0"/>
        <w:spacing w:before="240" w:lineRule="auto"/>
        <w:ind w:firstLine="540"/>
        <w:jc w:val="both"/>
      </w:pPr>
      <w:r>
        <w:rPr>
          <w:sz w:val="24"/>
          <w:i w:val="on"/>
        </w:rPr>
        <w:t xml:space="preserve">"Кроме того, выполнение Работ и поставка товаров представляют собой различные предметы закупки и различные рынки, а следовательно, имеют место быть два различных круга участников закупок - участники, выполняющие Работы, и участники, осуществляющие поставку товаров.</w:t>
      </w:r>
    </w:p>
    <w:p>
      <w:pPr>
        <w:pStyle w:val="0"/>
        <w:spacing w:before="240" w:lineRule="auto"/>
        <w:ind w:firstLine="540"/>
        <w:jc w:val="both"/>
      </w:pPr>
      <w:r>
        <w:rPr>
          <w:sz w:val="24"/>
          <w:i w:val="on"/>
        </w:rPr>
        <w:t xml:space="preserve">Следовательно, Заказчик, включивший в одну закупку выполнение Работ, а также поставку немонтируемого оборудования и оборудования, которое не требуется при эксплуатации объекта, лишает права участников, осуществляющих поставку таких товаров, участвовать в таких закупках, необоснованно укрупняет лот, что влечет ограничение количества участников закупки.</w:t>
      </w:r>
    </w:p>
    <w:p>
      <w:pPr>
        <w:pStyle w:val="0"/>
        <w:spacing w:before="240" w:lineRule="auto"/>
        <w:ind w:firstLine="540"/>
        <w:jc w:val="both"/>
      </w:pPr>
      <w:r>
        <w:rPr>
          <w:sz w:val="24"/>
          <w:i w:val="on"/>
        </w:rPr>
        <w:t xml:space="preserve">Выполнение Работ и поставка перечисленных выше товаров не имеют функциональной и технологической связи между собой, исходя из обстоятельств проведения рассматриваемого Конкурса.</w:t>
      </w:r>
    </w:p>
    <w:p>
      <w:pPr>
        <w:pStyle w:val="0"/>
        <w:spacing w:before="240" w:lineRule="auto"/>
        <w:ind w:firstLine="540"/>
        <w:jc w:val="both"/>
      </w:pPr>
      <w:r>
        <w:rPr>
          <w:sz w:val="24"/>
          <w:i w:val="on"/>
        </w:rPr>
        <w:t xml:space="preserve">Поставка данного оборудования после завершения Работ и ввода его в эксплуатацию не повлечет для Заказчика возникновение необратимых последствий.</w:t>
      </w:r>
    </w:p>
    <w:p>
      <w:pPr>
        <w:pStyle w:val="0"/>
        <w:spacing w:before="240" w:lineRule="auto"/>
        <w:ind w:firstLine="540"/>
        <w:jc w:val="both"/>
      </w:pPr>
      <w:r>
        <w:rPr>
          <w:sz w:val="24"/>
          <w:i w:val="on"/>
        </w:rPr>
        <w:t xml:space="preserve">Таким образом, у Заказчика отсутствуют какие-либо причины, лишающие его возможности провести отдельную закупочную процедуру на поставку необходимых товаров, обеспечив тем самым конкуренцию между участниками закупки, а также эффективное расходование бюджетных средств.</w:t>
      </w:r>
    </w:p>
    <w:p>
      <w:pPr>
        <w:pStyle w:val="0"/>
        <w:spacing w:before="240" w:lineRule="auto"/>
        <w:ind w:firstLine="540"/>
        <w:jc w:val="both"/>
      </w:pPr>
      <w:r>
        <w:rPr>
          <w:sz w:val="24"/>
          <w:i w:val="on"/>
        </w:rPr>
        <w:t xml:space="preserve">Довод заявителя о том, что Конкурс проводился не в рамках государственного оборонного заказа, противоречит фактическим обстоятельствам дела, нормам материального права.</w:t>
      </w:r>
    </w:p>
    <w:p>
      <w:pPr>
        <w:pStyle w:val="0"/>
        <w:spacing w:before="240" w:lineRule="auto"/>
        <w:ind w:firstLine="540"/>
        <w:jc w:val="both"/>
      </w:pPr>
      <w:r>
        <w:rPr>
          <w:sz w:val="24"/>
          <w:i w:val="on"/>
        </w:rPr>
        <w:t xml:space="preserve">Идентификационный код закупки - 251691401318769140100100000024211454 (далее - ИКЗ).</w:t>
      </w:r>
    </w:p>
    <w:p>
      <w:pPr>
        <w:pStyle w:val="0"/>
        <w:spacing w:before="240" w:lineRule="auto"/>
        <w:ind w:firstLine="540"/>
        <w:jc w:val="both"/>
      </w:pPr>
      <w:r>
        <w:rPr>
          <w:sz w:val="24"/>
          <w:i w:val="on"/>
        </w:rPr>
        <w:t xml:space="preserve">Приказом Минфина России от 24.05.2022 N 82н "О Порядке формирования и применения кодов бюджетной классификации Российской Федерации, их структуре и принципах назначения" установлено </w:t>
      </w:r>
      <w:hyperlink w:history="0" r:id="rId94"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 Недействующая редакция {КонсультантПлюс}">
        <w:r>
          <w:rPr>
            <w:sz w:val="24"/>
            <w:color w:val="0000ff"/>
            <w:i w:val="on"/>
          </w:rPr>
          <w:t xml:space="preserve">Приложение N 3</w:t>
        </w:r>
      </w:hyperlink>
      <w:r>
        <w:rPr>
          <w:sz w:val="24"/>
          <w:i w:val="on"/>
        </w:rPr>
        <w:t xml:space="preserve">. Коды видов (групп, подгрупп, элементов) расходов классификации расходов бюджетов (далее - Приложение N 3).</w:t>
      </w:r>
    </w:p>
    <w:p>
      <w:pPr>
        <w:pStyle w:val="0"/>
        <w:spacing w:before="240" w:lineRule="auto"/>
        <w:ind w:firstLine="540"/>
        <w:jc w:val="both"/>
      </w:pPr>
      <w:r>
        <w:rPr>
          <w:sz w:val="24"/>
          <w:i w:val="on"/>
        </w:rPr>
        <w:t xml:space="preserve">Согласно </w:t>
      </w:r>
      <w:hyperlink w:history="0" r:id="rId95"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 Недействующая редакция {КонсультантПлюс}">
        <w:r>
          <w:rPr>
            <w:sz w:val="24"/>
            <w:color w:val="0000ff"/>
            <w:i w:val="on"/>
          </w:rPr>
          <w:t xml:space="preserve">пункту 53.4.4.4</w:t>
        </w:r>
      </w:hyperlink>
      <w:r>
        <w:rPr>
          <w:sz w:val="24"/>
          <w:i w:val="on"/>
        </w:rPr>
        <w:t xml:space="preserve"> Приложения N 3 ИКЗ относится к бюджетным инвестициям иных юридических лиц в объекты капитального строительства в рамках государственного оборонного заказа.</w:t>
      </w:r>
    </w:p>
    <w:p>
      <w:pPr>
        <w:pStyle w:val="0"/>
        <w:spacing w:before="240" w:lineRule="auto"/>
        <w:ind w:firstLine="540"/>
        <w:jc w:val="both"/>
      </w:pPr>
      <w:r>
        <w:rPr>
          <w:sz w:val="24"/>
          <w:i w:val="on"/>
        </w:rPr>
        <w:t xml:space="preserve">Следовательно, Заказчиком осуществляется закупка в рамках государственного оборонного заказа.</w:t>
      </w:r>
    </w:p>
    <w:p>
      <w:pPr>
        <w:pStyle w:val="0"/>
        <w:spacing w:before="240" w:lineRule="auto"/>
        <w:ind w:firstLine="540"/>
        <w:jc w:val="both"/>
      </w:pPr>
      <w:r>
        <w:rPr>
          <w:sz w:val="24"/>
          <w:i w:val="on"/>
        </w:rPr>
        <w:t xml:space="preserve">Указанное также содержится в </w:t>
      </w:r>
      <w:hyperlink w:history="0" r:id="rId96" w:tooltip="Приказ Минфина России от 24.05.2022 N 82н (ред. от 01.12.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 Недействующая редакция {КонсультантПлюс}">
        <w:r>
          <w:rPr>
            <w:sz w:val="24"/>
            <w:color w:val="0000ff"/>
            <w:i w:val="on"/>
          </w:rPr>
          <w:t xml:space="preserve">пункте 454</w:t>
        </w:r>
      </w:hyperlink>
      <w:r>
        <w:rPr>
          <w:sz w:val="24"/>
          <w:i w:val="on"/>
        </w:rPr>
        <w:t xml:space="preserve"> Приложения N 3.</w:t>
      </w:r>
    </w:p>
    <w:p>
      <w:pPr>
        <w:pStyle w:val="0"/>
        <w:spacing w:before="240" w:lineRule="auto"/>
        <w:ind w:firstLine="540"/>
        <w:jc w:val="both"/>
      </w:pPr>
      <w:r>
        <w:rPr>
          <w:sz w:val="24"/>
          <w:i w:val="on"/>
        </w:rPr>
        <w:t xml:space="preserve">Таким образом, действия Заказчика, не установившего запрет в отношении предмета закупки, нарушают </w:t>
      </w:r>
      <w:hyperlink w:history="0" r:id="rId9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пункт 15 части 1 статьи 42</w:t>
        </w:r>
      </w:hyperlink>
      <w:r>
        <w:rPr>
          <w:sz w:val="24"/>
          <w:i w:val="on"/>
        </w:rPr>
        <w:t xml:space="preserve"> Закона о контрактной системе.</w:t>
      </w:r>
    </w:p>
    <w:p>
      <w:pPr>
        <w:pStyle w:val="0"/>
        <w:spacing w:before="240" w:lineRule="auto"/>
        <w:ind w:firstLine="540"/>
        <w:jc w:val="both"/>
      </w:pPr>
      <w:r>
        <w:rPr>
          <w:sz w:val="24"/>
          <w:i w:val="on"/>
        </w:rPr>
        <w:t xml:space="preserve">С учетом изложенного апелляционный суд соглашается с выводом суда первой инстанции об отсутствии оснований для удовлетворения заявленных требований".</w:t>
      </w:r>
    </w:p>
    <w:p>
      <w:pPr>
        <w:pStyle w:val="0"/>
        <w:spacing w:before="240" w:lineRule="auto"/>
        <w:ind w:firstLine="540"/>
        <w:jc w:val="both"/>
      </w:pPr>
      <w:r>
        <w:rPr>
          <w:sz w:val="24"/>
        </w:rPr>
        <w:t xml:space="preserve">(</w:t>
      </w:r>
      <w:hyperlink w:history="0" r:id="rId98" w:tooltip="Постановление Девятого арбитражного апелляционного суда от 16.03.2026 N 09АП-68314/2025 по делу N А40-188277/2025 Категория: Споры в сфере закупок для государственных и муниципальных нужд. Требования заказчика: Об оспаривании актов антимонопольного органа в сфере закупок. Обстоятельства: Заказчик неправомерно объединил в один объект закупки выполнение работ и поставку оборудования, не связанного с эксплуатацией объекта. Решение: Отказано. {КонсультантПлюс}">
        <w:r>
          <w:rPr>
            <w:sz w:val="24"/>
            <w:color w:val="0000ff"/>
          </w:rPr>
          <w:t xml:space="preserve">Постановление</w:t>
        </w:r>
      </w:hyperlink>
      <w:r>
        <w:rPr>
          <w:sz w:val="24"/>
        </w:rPr>
        <w:t xml:space="preserve"> Девятого арбитражного апелляционного суда от 16.03.2026 N 09АП-68314/2025 по делу N А40-188277/25)</w:t>
      </w:r>
    </w:p>
    <w:p>
      <w:pPr>
        <w:pStyle w:val="0"/>
        <w:ind w:firstLine="540"/>
        <w:jc w:val="both"/>
      </w:pPr>
      <w:r>
        <w:rPr>
          <w:sz w:val="24"/>
        </w:rPr>
      </w:r>
    </w:p>
    <w:p>
      <w:pPr>
        <w:pStyle w:val="2"/>
        <w:outlineLvl w:val="0"/>
        <w:ind w:firstLine="540"/>
        <w:jc w:val="both"/>
      </w:pPr>
      <w:r>
        <w:rPr>
          <w:sz w:val="24"/>
        </w:rPr>
        <w:t xml:space="preserve">5. Заключение контракта с единственным поставщиком (подрядчиком, исполнителем) по основанию, предусмотренному </w:t>
      </w:r>
      <w:hyperlink w:history="0" r:id="rId9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 должно обладать срочным характером, исключающим целесообразность применения конкурентных способов закупки.</w:t>
      </w:r>
    </w:p>
    <w:p>
      <w:pPr>
        <w:pStyle w:val="0"/>
        <w:spacing w:before="240" w:lineRule="auto"/>
        <w:ind w:firstLine="540"/>
        <w:jc w:val="both"/>
      </w:pPr>
      <w:r>
        <w:rPr>
          <w:sz w:val="24"/>
        </w:rPr>
        <w:t xml:space="preserve">Комиссией ФАС России по результатам проведенной на основании обращения А.В. Кулакова в порядке </w:t>
      </w:r>
      <w:hyperlink w:history="0" r:id="rId10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статьи 99</w:t>
        </w:r>
      </w:hyperlink>
      <w:r>
        <w:rPr>
          <w:sz w:val="24"/>
        </w:rPr>
        <w:t xml:space="preserve"> Закона о контрактной системе внеплановой проверки установлено, что действия Управления делами ГО, ЧС, ПБ Нижегородской области (далее - Заказчик), заключившего с АО "Газпромбанк Лизинг" (далее - Исполнитель) контракт от 21.06.2024 N 81/2024 на приобретение и последующую передачу в лизинг быстровозводимых модульных зданий для пожарных депо (номер реестровой записи контракта в единой информационной системе в сфере закупок </w:t>
      </w:r>
      <w:hyperlink w:history="0" r:id="rId101">
        <w:r>
          <w:rPr>
            <w:sz w:val="24"/>
            <w:color w:val="0000ff"/>
          </w:rPr>
          <w:t xml:space="preserve">www.zakupki.gov.ru</w:t>
        </w:r>
      </w:hyperlink>
      <w:r>
        <w:rPr>
          <w:sz w:val="24"/>
        </w:rPr>
        <w:t xml:space="preserve"> (далее - ЕИС) - 2526029265024000186) (далее - Контракт) на основании </w:t>
      </w:r>
      <w:hyperlink w:history="0" r:id="rId10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9 части 1 статьи 93</w:t>
        </w:r>
      </w:hyperlink>
      <w:r>
        <w:rPr>
          <w:sz w:val="24"/>
        </w:rPr>
        <w:t xml:space="preserve"> Закона о контрактной системе, нарушают </w:t>
      </w:r>
      <w:hyperlink w:history="0" r:id="rId10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 1 статьи 24</w:t>
        </w:r>
      </w:hyperlink>
      <w:r>
        <w:rPr>
          <w:sz w:val="24"/>
        </w:rPr>
        <w:t xml:space="preserve"> Закона о контрактной системе.</w:t>
      </w:r>
    </w:p>
    <w:p>
      <w:pPr>
        <w:pStyle w:val="0"/>
        <w:spacing w:before="240" w:lineRule="auto"/>
        <w:ind w:firstLine="540"/>
        <w:jc w:val="both"/>
      </w:pPr>
      <w:r>
        <w:rPr>
          <w:sz w:val="24"/>
        </w:rPr>
        <w:t xml:space="preserve">Выводы Комиссии ФАС России нашли свое отражение в </w:t>
      </w:r>
      <w:hyperlink w:history="0" r:id="rId104" w:tooltip="Ссылка на КонсультантПлюс">
        <w:r>
          <w:rPr>
            <w:sz w:val="24"/>
            <w:color w:val="0000ff"/>
          </w:rPr>
          <w:t xml:space="preserve">Решении</w:t>
        </w:r>
      </w:hyperlink>
      <w:r>
        <w:rPr>
          <w:sz w:val="24"/>
        </w:rPr>
        <w:t xml:space="preserve"> от 17.12.2024 по делу N П-245/24 (далее - Решение) и признаны законными и обоснованными Решением Арбитражного суда города Москвы от 29.10.2025 по делу N А40-125611/2025-144-834.</w:t>
      </w:r>
    </w:p>
    <w:p>
      <w:pPr>
        <w:pStyle w:val="0"/>
        <w:spacing w:before="240" w:lineRule="auto"/>
        <w:ind w:firstLine="540"/>
        <w:jc w:val="both"/>
      </w:pPr>
      <w:r>
        <w:rPr>
          <w:sz w:val="24"/>
        </w:rPr>
        <w:t xml:space="preserve">Так, согласно </w:t>
      </w:r>
      <w:hyperlink w:history="0" r:id="rId10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 статьи 24</w:t>
        </w:r>
      </w:hyperlink>
      <w:r>
        <w:rPr>
          <w:sz w:val="24"/>
        </w:rPr>
        <w:t xml:space="preserve"> Закона о контрактной системе заказчики при осуществлении закупок применяют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pPr>
        <w:pStyle w:val="0"/>
        <w:spacing w:before="240" w:lineRule="auto"/>
        <w:ind w:firstLine="540"/>
        <w:jc w:val="both"/>
      </w:pPr>
      <w:r>
        <w:rPr>
          <w:sz w:val="24"/>
        </w:rPr>
        <w:t xml:space="preserve">Закупка у единственного поставщика (подрядчика, исполнителя) не относится к конкурентным способам осуществления закупки, а следовательно, применение такого способа закупки должно осуществляться исключительно в порядке и в случаях, которые установлены законом. Такие порядок и случаи предусмотрены </w:t>
      </w:r>
      <w:hyperlink w:history="0" r:id="rId10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93</w:t>
        </w:r>
      </w:hyperlink>
      <w:r>
        <w:rPr>
          <w:sz w:val="24"/>
        </w:rPr>
        <w:t xml:space="preserve"> Закона о контрактной системе.</w:t>
      </w:r>
    </w:p>
    <w:p>
      <w:pPr>
        <w:pStyle w:val="0"/>
        <w:spacing w:before="240" w:lineRule="auto"/>
        <w:ind w:firstLine="540"/>
        <w:jc w:val="both"/>
      </w:pPr>
      <w:r>
        <w:rPr>
          <w:sz w:val="24"/>
        </w:rPr>
        <w:t xml:space="preserve">В силу </w:t>
      </w:r>
      <w:hyperlink w:history="0" r:id="rId10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9 части 1 статьи 93</w:t>
        </w:r>
      </w:hyperlink>
      <w:r>
        <w:rPr>
          <w:sz w:val="24"/>
        </w:rPr>
        <w:t xml:space="preserve"> Закона о контрактной системе закупка у единственного поставщика (подрядчика, исполнителя) может осуществляться заказчиком в случае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pPr>
        <w:pStyle w:val="0"/>
        <w:spacing w:before="240" w:lineRule="auto"/>
        <w:ind w:firstLine="540"/>
        <w:jc w:val="both"/>
      </w:pPr>
      <w:r>
        <w:rPr>
          <w:sz w:val="24"/>
        </w:rPr>
        <w:t xml:space="preserve">Как следует из обстоятельств дела, в соответствии с Указом Губернатора Нижегородской области от 22.02.2022 N 27 "О введении на территории Нижегородской области режима повышенной готовности" (далее - Указ N 27) на территории Нижегородской области с 22.02.2022 вводится режим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до принятия соответствующего Указа Губернатора Нижегородской области о снятии режима повышенной готовности.</w:t>
      </w:r>
    </w:p>
    <w:p>
      <w:pPr>
        <w:pStyle w:val="0"/>
        <w:spacing w:before="240" w:lineRule="auto"/>
        <w:ind w:firstLine="540"/>
        <w:jc w:val="both"/>
      </w:pPr>
      <w:r>
        <w:rPr>
          <w:sz w:val="24"/>
        </w:rPr>
        <w:t xml:space="preserve">Указом Губернатора Нижегородской области от 22.05.2024 N 87 "О внесении изменений в Указ Губернатора Нижегородской области от 22 февраля 2022 г. N 27" (далее - Указ N 87) Указ N 27 дополняется пунктом 4, в соответствии с которым Заказчику необходимо заключить контракт в соответствии с </w:t>
      </w:r>
      <w:hyperlink w:history="0" r:id="rId10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 на оказание услуг финансовой аренды (лизинга) быстровозводимых модульных зданий для пожарных депо.</w:t>
      </w:r>
    </w:p>
    <w:p>
      <w:pPr>
        <w:pStyle w:val="0"/>
        <w:spacing w:before="240" w:lineRule="auto"/>
        <w:ind w:firstLine="540"/>
        <w:jc w:val="both"/>
      </w:pPr>
      <w:r>
        <w:rPr>
          <w:sz w:val="24"/>
        </w:rPr>
        <w:t xml:space="preserve">На заседании Комиссии ФАС России установлено, что Указ N 87, в соответствии с которым Заказчику необходимо заключить Контракт, принят 22.05.2024, в то время как Контракт заключен 21.06.2024.</w:t>
      </w:r>
    </w:p>
    <w:p>
      <w:pPr>
        <w:pStyle w:val="0"/>
        <w:spacing w:before="240" w:lineRule="auto"/>
        <w:ind w:firstLine="540"/>
        <w:jc w:val="both"/>
      </w:pPr>
      <w:r>
        <w:rPr>
          <w:sz w:val="24"/>
        </w:rPr>
        <w:t xml:space="preserve">Представитель Заказчика на заседании Комиссии ФАС России пояснил, что подписанный со стороны Заказчика Контракт направлен Исполнителю для подписания 29.05.2024.</w:t>
      </w:r>
    </w:p>
    <w:p>
      <w:pPr>
        <w:pStyle w:val="0"/>
        <w:spacing w:before="240" w:lineRule="auto"/>
        <w:ind w:firstLine="540"/>
        <w:jc w:val="both"/>
      </w:pPr>
      <w:r>
        <w:rPr>
          <w:sz w:val="24"/>
        </w:rPr>
        <w:t xml:space="preserve">Кроме того, на заседании Комиссии ФАС России установлено, что в соответствии с пунктом 2.5 Контракта срок поставки устанавливается в количестве 300 - 330 дней с даты заключения Контракта, но не ранее 01.12.2024.</w:t>
      </w:r>
    </w:p>
    <w:p>
      <w:pPr>
        <w:pStyle w:val="0"/>
        <w:spacing w:before="240" w:lineRule="auto"/>
        <w:ind w:firstLine="540"/>
        <w:jc w:val="both"/>
      </w:pPr>
      <w:r>
        <w:rPr>
          <w:sz w:val="24"/>
        </w:rPr>
        <w:t xml:space="preserve">Представитель Заказчика на заседании Комиссии ФАС России пояснил, что начальный срок поставки, а именно 01.12.2024, установлен Заказчиком в связи с необходимостью подготовки Заказчиком коммуникаций для дальнейшей установки модульных зданий.</w:t>
      </w:r>
    </w:p>
    <w:p>
      <w:pPr>
        <w:pStyle w:val="0"/>
        <w:spacing w:before="240" w:lineRule="auto"/>
        <w:ind w:firstLine="540"/>
        <w:jc w:val="both"/>
      </w:pPr>
      <w:r>
        <w:rPr>
          <w:sz w:val="24"/>
        </w:rPr>
        <w:t xml:space="preserve">Комиссия ФАС России отметила, что закупки, осуществляемые на основании </w:t>
      </w:r>
      <w:hyperlink w:history="0" r:id="rId10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9 части 1 статьи 93</w:t>
        </w:r>
      </w:hyperlink>
      <w:r>
        <w:rPr>
          <w:sz w:val="24"/>
        </w:rPr>
        <w:t xml:space="preserve"> Закона о контрактной системе, требуют строгого и однозначного соответствия исчерпывающему перечню условий, предусмотренных вышеуказанным </w:t>
      </w:r>
      <w:hyperlink w:history="0" r:id="rId1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w:t>
        </w:r>
      </w:hyperlink>
      <w:r>
        <w:rPr>
          <w:sz w:val="24"/>
        </w:rPr>
        <w:t xml:space="preserve">.</w:t>
      </w:r>
    </w:p>
    <w:p>
      <w:pPr>
        <w:pStyle w:val="0"/>
        <w:spacing w:before="240" w:lineRule="auto"/>
        <w:ind w:firstLine="540"/>
        <w:jc w:val="both"/>
      </w:pPr>
      <w:r>
        <w:rPr>
          <w:sz w:val="24"/>
        </w:rPr>
        <w:t xml:space="preserve">Кроме того, Комиссия ФАС России дополнительно обратила внимание, что правовая специфика способа закупки, установленного </w:t>
      </w:r>
      <w:hyperlink w:history="0" r:id="rId1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 предопределена неконкурентным характером соответствующих правоотношений, а также срочностью и неотложностью оснований, обусловливающих проведение закупки у единственного поставщика (подрядчика, исполнителя) таким способом.</w:t>
      </w:r>
    </w:p>
    <w:p>
      <w:pPr>
        <w:pStyle w:val="0"/>
        <w:spacing w:before="240" w:lineRule="auto"/>
        <w:ind w:firstLine="540"/>
        <w:jc w:val="both"/>
      </w:pPr>
      <w:r>
        <w:rPr>
          <w:sz w:val="24"/>
        </w:rPr>
        <w:t xml:space="preserve">Девятый арбитражный апелляционный суд, оставивший без изменения решение Арбитражного суда города Москвы, которым отказано в удовлетворении требований Заказчика, указал на следующее:</w:t>
      </w:r>
    </w:p>
    <w:p>
      <w:pPr>
        <w:pStyle w:val="0"/>
        <w:spacing w:before="240" w:lineRule="auto"/>
        <w:ind w:firstLine="540"/>
        <w:jc w:val="both"/>
      </w:pPr>
      <w:r>
        <w:rPr>
          <w:sz w:val="24"/>
          <w:i w:val="on"/>
        </w:rPr>
        <w:t xml:space="preserve">"Отдавая в отдельных случаях предпочтение такому способу, как осуществление закупки у единственного поставщика, заказчик должен иметь разумные и объективные причины, объясняющие, что применение конкурентных процедур либо является неэффективным (например, если товарный рынок ограничен или цены на объект закупки колеблются в узком диапазоне), либо в значительной степени лишают заказчика того результата, которого он намеревался достичь, планируя закупку (осуществление срочного размещения заказа, закупка на товарном рынке, где преобладает недобросовестная конкуренция).</w:t>
      </w:r>
    </w:p>
    <w:p>
      <w:pPr>
        <w:pStyle w:val="0"/>
        <w:spacing w:before="240" w:lineRule="auto"/>
        <w:ind w:firstLine="540"/>
        <w:jc w:val="both"/>
      </w:pPr>
      <w:r>
        <w:rPr>
          <w:sz w:val="24"/>
          <w:i w:val="on"/>
        </w:rPr>
        <w:t xml:space="preserve">Объективных причин, препятствующих заказчику своевременно провести закупочную процедуру в конкурентной форме, вместо заключения контракта в неконкурентной форме ввиду причин технологического, экономического или иного характера, из материалов дела не усматривается".</w:t>
      </w:r>
    </w:p>
    <w:p>
      <w:pPr>
        <w:pStyle w:val="0"/>
        <w:spacing w:before="240" w:lineRule="auto"/>
        <w:ind w:firstLine="540"/>
        <w:jc w:val="both"/>
      </w:pPr>
      <w:r>
        <w:rPr>
          <w:sz w:val="24"/>
        </w:rPr>
        <w:t xml:space="preserve">(</w:t>
      </w:r>
      <w:hyperlink w:history="0" r:id="rId112" w:tooltip="Постановление Девятого арбитражного апелляционного суда от 23.03.2026 N 09АП-64117/2025, 09АП-64118/2025 по делу N А40-125611/2025 Категория: Споры в сфере закупок для государственных и муниципальных нужд. Требования заказчика: Об оспаривании решения о нарушении требований ч. 1 ст. 24 Закона о контрактной системе. Обстоятельства: Объективных причин, препятствующих заказчику своевременно провести закупочную процедуру в конкурентной форме, не установлено. Заказчик не доказал, что заключение контракта с единст {КонсультантПлюс}">
        <w:r>
          <w:rPr>
            <w:sz w:val="24"/>
            <w:color w:val="0000ff"/>
          </w:rPr>
          <w:t xml:space="preserve">Постановление</w:t>
        </w:r>
      </w:hyperlink>
      <w:r>
        <w:rPr>
          <w:sz w:val="24"/>
        </w:rPr>
        <w:t xml:space="preserve"> Девятого арбитражного апелляционного суда от 23.03.2026 N 09АП-64117/2025, 09АП-64118/2025 по делу N А40-125611/25)</w:t>
      </w:r>
    </w:p>
    <w:p>
      <w:pPr>
        <w:pStyle w:val="0"/>
        <w:ind w:firstLine="540"/>
        <w:jc w:val="both"/>
      </w:pPr>
      <w:r>
        <w:rPr>
          <w:sz w:val="24"/>
        </w:rPr>
      </w:r>
    </w:p>
    <w:p>
      <w:pPr>
        <w:pStyle w:val="0"/>
        <w:jc w:val="right"/>
      </w:pPr>
      <w:r>
        <w:rPr>
          <w:sz w:val="24"/>
        </w:rPr>
        <w:t xml:space="preserve">Д.С. Бомбырь</w:t>
      </w:r>
    </w:p>
    <w:p>
      <w:pPr>
        <w:pStyle w:val="0"/>
        <w:jc w:val="right"/>
      </w:pPr>
      <w:r>
        <w:rPr>
          <w:sz w:val="24"/>
        </w:rPr>
        <w:t xml:space="preserve">Начальник Управления контроля размещения</w:t>
      </w:r>
    </w:p>
    <w:p>
      <w:pPr>
        <w:pStyle w:val="0"/>
        <w:jc w:val="right"/>
      </w:pPr>
      <w:r>
        <w:rPr>
          <w:sz w:val="24"/>
        </w:rPr>
        <w:t xml:space="preserve">государственного заказа ФАС России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судебной практики в сфере закупок для государственных и муниципальных нужд (март 2026 года)"</w:t>
            <w:br/>
            <w:t>(Управление контроля...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PAS&amp;n=1073892&amp;date=10.08.2026" TargetMode = "External"/><Relationship Id="rId9" Type="http://schemas.openxmlformats.org/officeDocument/2006/relationships/hyperlink" Target="https://login.consultant.ru/link/?req=doc&amp;base=LAW&amp;n=495181&amp;date=10.08.2026&amp;dst=2428&amp;field=134" TargetMode = "External"/><Relationship Id="rId10" Type="http://schemas.openxmlformats.org/officeDocument/2006/relationships/hyperlink" Target="https://login.consultant.ru/link/?req=doc&amp;base=PAS&amp;n=1073929&amp;date=10.08.2026" TargetMode = "External"/><Relationship Id="rId11" Type="http://schemas.openxmlformats.org/officeDocument/2006/relationships/hyperlink" Target="https://login.consultant.ru/link/?req=doc&amp;base=LAW&amp;n=495181&amp;date=10.08.2026&amp;dst=2409&amp;field=134" TargetMode = "External"/><Relationship Id="rId12" Type="http://schemas.openxmlformats.org/officeDocument/2006/relationships/hyperlink" Target="https://login.consultant.ru/link/?req=doc&amp;base=LAW&amp;n=495181&amp;date=10.08.2026&amp;dst=2389&amp;field=134" TargetMode = "External"/><Relationship Id="rId13" Type="http://schemas.openxmlformats.org/officeDocument/2006/relationships/hyperlink" Target="https://login.consultant.ru/link/?req=doc&amp;base=LAW&amp;n=495181&amp;date=10.08.2026&amp;dst=2412&amp;field=134" TargetMode = "External"/><Relationship Id="rId14" Type="http://schemas.openxmlformats.org/officeDocument/2006/relationships/hyperlink" Target="https://login.consultant.ru/link/?req=doc&amp;base=LAW&amp;n=495181&amp;date=10.08.2026&amp;dst=2389&amp;field=134" TargetMode = "External"/><Relationship Id="rId15" Type="http://schemas.openxmlformats.org/officeDocument/2006/relationships/hyperlink" Target="https://login.consultant.ru/link/?req=doc&amp;base=LAW&amp;n=495181&amp;date=10.08.2026&amp;dst=2425&amp;field=134" TargetMode = "External"/><Relationship Id="rId16" Type="http://schemas.openxmlformats.org/officeDocument/2006/relationships/hyperlink" Target="https://login.consultant.ru/link/?req=doc&amp;base=LAW&amp;n=495181&amp;date=10.08.2026&amp;dst=12062&amp;field=134" TargetMode = "External"/><Relationship Id="rId17" Type="http://schemas.openxmlformats.org/officeDocument/2006/relationships/hyperlink" Target="https://login.consultant.ru/link/?req=doc&amp;base=LAW&amp;n=495181&amp;date=10.08.2026&amp;dst=2522&amp;field=134" TargetMode = "External"/><Relationship Id="rId18" Type="http://schemas.openxmlformats.org/officeDocument/2006/relationships/hyperlink" Target="https://login.consultant.ru/link/?req=doc&amp;base=LAW&amp;n=495181&amp;date=10.08.2026&amp;dst=12415&amp;field=134" TargetMode = "External"/><Relationship Id="rId19" Type="http://schemas.openxmlformats.org/officeDocument/2006/relationships/hyperlink" Target="https://login.consultant.ru/link/?req=doc&amp;base=LAW&amp;n=495181&amp;date=10.08.2026&amp;dst=2528&amp;field=134" TargetMode = "External"/><Relationship Id="rId20" Type="http://schemas.openxmlformats.org/officeDocument/2006/relationships/hyperlink" Target="https://login.consultant.ru/link/?req=doc&amp;base=LAW&amp;n=495181&amp;date=10.08.2026&amp;dst=2426&amp;field=134" TargetMode = "External"/><Relationship Id="rId21" Type="http://schemas.openxmlformats.org/officeDocument/2006/relationships/hyperlink" Target="https://login.consultant.ru/link/?req=doc&amp;base=LAW&amp;n=495181&amp;date=10.08.2026&amp;dst=2430&amp;field=134" TargetMode = "External"/><Relationship Id="rId22" Type="http://schemas.openxmlformats.org/officeDocument/2006/relationships/hyperlink" Target="https://login.consultant.ru/link/?req=doc&amp;base=LAW&amp;n=495181&amp;date=10.08.2026&amp;dst=2428&amp;field=134" TargetMode = "External"/><Relationship Id="rId23" Type="http://schemas.openxmlformats.org/officeDocument/2006/relationships/hyperlink" Target="https://login.consultant.ru/link/?req=doc&amp;base=LAW&amp;n=495181&amp;date=10.08.2026&amp;dst=2425&amp;field=134" TargetMode = "External"/><Relationship Id="rId24" Type="http://schemas.openxmlformats.org/officeDocument/2006/relationships/hyperlink" Target="https://login.consultant.ru/link/?req=doc&amp;base=LAW&amp;n=495181&amp;date=10.08.2026&amp;dst=12058&amp;field=134" TargetMode = "External"/><Relationship Id="rId25" Type="http://schemas.openxmlformats.org/officeDocument/2006/relationships/hyperlink" Target="https://login.consultant.ru/link/?req=doc&amp;base=LAW&amp;n=495181&amp;date=10.08.2026&amp;dst=2425&amp;field=134" TargetMode = "External"/><Relationship Id="rId26" Type="http://schemas.openxmlformats.org/officeDocument/2006/relationships/hyperlink" Target="https://login.consultant.ru/link/?req=doc&amp;base=LAW&amp;n=508490&amp;date=10.08.2026&amp;dst=1301&amp;field=134" TargetMode = "External"/><Relationship Id="rId27" Type="http://schemas.openxmlformats.org/officeDocument/2006/relationships/hyperlink" Target="https://login.consultant.ru/link/?req=doc&amp;base=LAW&amp;n=495181&amp;date=10.08.2026&amp;dst=2409&amp;field=134" TargetMode = "External"/><Relationship Id="rId28" Type="http://schemas.openxmlformats.org/officeDocument/2006/relationships/hyperlink" Target="https://login.consultant.ru/link/?req=doc&amp;base=PAS&amp;n=1073892&amp;date=10.08.2026" TargetMode = "External"/><Relationship Id="rId29" Type="http://schemas.openxmlformats.org/officeDocument/2006/relationships/hyperlink" Target="https://login.consultant.ru/link/?req=doc&amp;base=PAS&amp;n=1073929&amp;date=10.08.2026" TargetMode = "External"/><Relationship Id="rId30" Type="http://schemas.openxmlformats.org/officeDocument/2006/relationships/hyperlink" Target="https://login.consultant.ru/link/?req=doc&amp;base=MARB&amp;n=3028069&amp;date=10.08.2026" TargetMode = "External"/><Relationship Id="rId31" Type="http://schemas.openxmlformats.org/officeDocument/2006/relationships/hyperlink" Target="https://login.consultant.ru/link/?req=doc&amp;base=LAW&amp;n=495181&amp;date=10.08.2026&amp;dst=2409&amp;field=134" TargetMode = "External"/><Relationship Id="rId32" Type="http://schemas.openxmlformats.org/officeDocument/2006/relationships/hyperlink" Target="https://login.consultant.ru/link/?req=doc&amp;base=LAW&amp;n=495181&amp;date=10.08.2026&amp;dst=2428&amp;field=134" TargetMode = "External"/><Relationship Id="rId33" Type="http://schemas.openxmlformats.org/officeDocument/2006/relationships/hyperlink" Target="https://login.consultant.ru/link/?req=doc&amp;base=LAW&amp;n=495181&amp;date=10.08.2026&amp;dst=2428&amp;field=134" TargetMode = "External"/><Relationship Id="rId34" Type="http://schemas.openxmlformats.org/officeDocument/2006/relationships/hyperlink" Target="https://login.consultant.ru/link/?req=doc&amp;base=PAS&amp;n=1073892&amp;date=10.08.2026" TargetMode = "External"/><Relationship Id="rId35" Type="http://schemas.openxmlformats.org/officeDocument/2006/relationships/hyperlink" Target="https://login.consultant.ru/link/?req=doc&amp;base=PAS&amp;n=1073929&amp;date=10.08.2026" TargetMode = "External"/><Relationship Id="rId36" Type="http://schemas.openxmlformats.org/officeDocument/2006/relationships/hyperlink" Target="https://login.consultant.ru/link/?req=doc&amp;base=AMS&amp;n=579534&amp;date=10.08.2026" TargetMode = "External"/><Relationship Id="rId37" Type="http://schemas.openxmlformats.org/officeDocument/2006/relationships/hyperlink" Target="https://login.consultant.ru/link/?req=doc&amp;base=LAW&amp;n=495181&amp;date=10.08.2026&amp;dst=2592&amp;field=134" TargetMode = "External"/><Relationship Id="rId38" Type="http://schemas.openxmlformats.org/officeDocument/2006/relationships/hyperlink" Target="https://login.consultant.ru/link/?req=doc&amp;base=LAW&amp;n=495181&amp;date=10.08.2026&amp;dst=2589&amp;field=134" TargetMode = "External"/><Relationship Id="rId39" Type="http://schemas.openxmlformats.org/officeDocument/2006/relationships/hyperlink" Target="https://login.consultant.ru/link/?req=doc&amp;base=LAW&amp;n=495181&amp;date=10.08.2026&amp;dst=12062&amp;field=134" TargetMode = "External"/><Relationship Id="rId40" Type="http://schemas.openxmlformats.org/officeDocument/2006/relationships/hyperlink" Target="https://login.consultant.ru/link/?req=doc&amp;base=LAW&amp;n=495181&amp;date=10.08.2026&amp;dst=2527&amp;field=134" TargetMode = "External"/><Relationship Id="rId41" Type="http://schemas.openxmlformats.org/officeDocument/2006/relationships/hyperlink" Target="https://login.consultant.ru/link/?req=doc&amp;base=LAW&amp;n=495181&amp;date=10.08.2026" TargetMode = "External"/><Relationship Id="rId42" Type="http://schemas.openxmlformats.org/officeDocument/2006/relationships/hyperlink" Target="https://login.consultant.ru/link/?req=doc&amp;base=LAW&amp;n=495181&amp;date=10.08.2026" TargetMode = "External"/><Relationship Id="rId43" Type="http://schemas.openxmlformats.org/officeDocument/2006/relationships/hyperlink" Target="https://login.consultant.ru/link/?req=doc&amp;base=LAW&amp;n=495181&amp;date=10.08.2026&amp;dst=2592&amp;field=134" TargetMode = "External"/><Relationship Id="rId44" Type="http://schemas.openxmlformats.org/officeDocument/2006/relationships/hyperlink" Target="https://login.consultant.ru/link/?req=doc&amp;base=LAW&amp;n=529683&amp;date=10.08.2026&amp;dst=11263&amp;field=134" TargetMode = "External"/><Relationship Id="rId45" Type="http://schemas.openxmlformats.org/officeDocument/2006/relationships/hyperlink" Target="https://login.consultant.ru/link/?req=doc&amp;base=PAS&amp;n=1058876&amp;date=10.08.2026" TargetMode = "External"/><Relationship Id="rId46" Type="http://schemas.openxmlformats.org/officeDocument/2006/relationships/hyperlink" Target="https://login.consultant.ru/link/?req=doc&amp;base=PAS&amp;n=1058876&amp;date=10.08.2026" TargetMode = "External"/><Relationship Id="rId47" Type="http://schemas.openxmlformats.org/officeDocument/2006/relationships/hyperlink" Target="https://login.consultant.ru/link/?req=doc&amp;base=LAW&amp;n=396773&amp;date=10.08.2026&amp;dst=100041&amp;field=134" TargetMode = "External"/><Relationship Id="rId48" Type="http://schemas.openxmlformats.org/officeDocument/2006/relationships/hyperlink" Target="https://login.consultant.ru/link/?req=doc&amp;base=MARB&amp;n=3140737&amp;date=10.08.2026" TargetMode = "External"/><Relationship Id="rId49" Type="http://schemas.openxmlformats.org/officeDocument/2006/relationships/hyperlink" Target="https://login.consultant.ru/link/?req=doc&amp;base=LAW&amp;n=495181&amp;date=10.08.2026&amp;dst=101474&amp;field=134" TargetMode = "External"/><Relationship Id="rId50" Type="http://schemas.openxmlformats.org/officeDocument/2006/relationships/hyperlink" Target="https://login.consultant.ru/link/?req=doc&amp;base=LAW&amp;n=495181&amp;date=10.08.2026&amp;dst=3050&amp;field=134" TargetMode = "External"/><Relationship Id="rId51" Type="http://schemas.openxmlformats.org/officeDocument/2006/relationships/hyperlink" Target="https://login.consultant.ru/link/?req=doc&amp;base=PAS&amp;n=1097126&amp;date=10.08.2026" TargetMode = "External"/><Relationship Id="rId52" Type="http://schemas.openxmlformats.org/officeDocument/2006/relationships/hyperlink" Target="https://login.consultant.ru/link/?req=doc&amp;base=LAW&amp;n=495181&amp;date=10.08.2026&amp;dst=2516&amp;field=134" TargetMode = "External"/><Relationship Id="rId53" Type="http://schemas.openxmlformats.org/officeDocument/2006/relationships/hyperlink" Target="https://login.consultant.ru/link/?req=doc&amp;base=PAS&amp;n=1097127&amp;date=10.08.2026" TargetMode = "External"/><Relationship Id="rId54" Type="http://schemas.openxmlformats.org/officeDocument/2006/relationships/hyperlink" Target="https://login.consultant.ru/link/?req=doc&amp;base=LAW&amp;n=495181&amp;date=10.08.2026" TargetMode = "External"/><Relationship Id="rId55" Type="http://schemas.openxmlformats.org/officeDocument/2006/relationships/hyperlink" Target="https://login.consultant.ru/link/?req=doc&amp;base=LAW&amp;n=486432&amp;date=10.08.2026&amp;dst=100130&amp;field=134" TargetMode = "External"/><Relationship Id="rId56" Type="http://schemas.openxmlformats.org/officeDocument/2006/relationships/hyperlink" Target="https://login.consultant.ru/link/?req=doc&amp;base=LAW&amp;n=486432&amp;date=10.08.2026&amp;dst=100355&amp;field=134" TargetMode = "External"/><Relationship Id="rId57" Type="http://schemas.openxmlformats.org/officeDocument/2006/relationships/hyperlink" Target="https://login.consultant.ru/link/?req=doc&amp;base=LAW&amp;n=523572&amp;date=10.08.2026&amp;dst=100284&amp;field=134" TargetMode = "External"/><Relationship Id="rId58" Type="http://schemas.openxmlformats.org/officeDocument/2006/relationships/hyperlink" Target="https://login.consultant.ru/link/?req=doc&amp;base=LAW&amp;n=523572&amp;date=10.08.2026&amp;dst=65&amp;field=134" TargetMode = "External"/><Relationship Id="rId59" Type="http://schemas.openxmlformats.org/officeDocument/2006/relationships/hyperlink" Target="https://login.consultant.ru/link/?req=doc&amp;base=LAW&amp;n=495181&amp;date=10.08.2026&amp;dst=101474&amp;field=134" TargetMode = "External"/><Relationship Id="rId60" Type="http://schemas.openxmlformats.org/officeDocument/2006/relationships/hyperlink" Target="https://login.consultant.ru/link/?req=doc&amp;base=LAW&amp;n=523572&amp;date=10.08.2026" TargetMode = "External"/><Relationship Id="rId61" Type="http://schemas.openxmlformats.org/officeDocument/2006/relationships/hyperlink" Target="https://login.consultant.ru/link/?req=doc&amp;base=LAW&amp;n=486432&amp;date=10.08.2026&amp;dst=100355&amp;field=134" TargetMode = "External"/><Relationship Id="rId62" Type="http://schemas.openxmlformats.org/officeDocument/2006/relationships/hyperlink" Target="https://login.consultant.ru/link/?req=doc&amp;base=LAW&amp;n=495181&amp;date=10.08.2026&amp;dst=2516&amp;field=134" TargetMode = "External"/><Relationship Id="rId63" Type="http://schemas.openxmlformats.org/officeDocument/2006/relationships/hyperlink" Target="https://login.consultant.ru/link/?req=doc&amp;base=PAS&amp;n=1097126&amp;date=10.08.2026" TargetMode = "External"/><Relationship Id="rId64" Type="http://schemas.openxmlformats.org/officeDocument/2006/relationships/hyperlink" Target="https://login.consultant.ru/link/?req=doc&amp;base=PAS&amp;n=1097127&amp;date=10.08.2026" TargetMode = "External"/><Relationship Id="rId65" Type="http://schemas.openxmlformats.org/officeDocument/2006/relationships/hyperlink" Target="https://login.consultant.ru/link/?req=doc&amp;base=MARB&amp;n=3053377&amp;date=10.08.2026" TargetMode = "External"/><Relationship Id="rId66" Type="http://schemas.openxmlformats.org/officeDocument/2006/relationships/hyperlink" Target="https://login.consultant.ru/link/?req=doc&amp;base=LAW&amp;n=495181&amp;date=10.08.2026&amp;dst=2516&amp;field=134" TargetMode = "External"/><Relationship Id="rId67" Type="http://schemas.openxmlformats.org/officeDocument/2006/relationships/hyperlink" Target="https://login.consultant.ru/link/?req=doc&amp;base=LAW&amp;n=529683&amp;date=10.08.2026" TargetMode = "External"/><Relationship Id="rId68" Type="http://schemas.openxmlformats.org/officeDocument/2006/relationships/hyperlink" Target="https://login.consultant.ru/link/?req=doc&amp;base=PAS&amp;n=1097126&amp;date=10.08.2026" TargetMode = "External"/><Relationship Id="rId69" Type="http://schemas.openxmlformats.org/officeDocument/2006/relationships/hyperlink" Target="https://login.consultant.ru/link/?req=doc&amp;base=PAS&amp;n=1097127&amp;date=10.08.2026" TargetMode = "External"/><Relationship Id="rId70" Type="http://schemas.openxmlformats.org/officeDocument/2006/relationships/hyperlink" Target="https://login.consultant.ru/link/?req=doc&amp;base=PAS&amp;n=1097126&amp;date=10.08.2026" TargetMode = "External"/><Relationship Id="rId71" Type="http://schemas.openxmlformats.org/officeDocument/2006/relationships/hyperlink" Target="https://login.consultant.ru/link/?req=doc&amp;base=PAS&amp;n=1097127&amp;date=10.08.2026" TargetMode = "External"/><Relationship Id="rId72" Type="http://schemas.openxmlformats.org/officeDocument/2006/relationships/hyperlink" Target="https://login.consultant.ru/link/?req=doc&amp;base=MARB&amp;n=3064750&amp;date=10.08.2026" TargetMode = "External"/><Relationship Id="rId73" Type="http://schemas.openxmlformats.org/officeDocument/2006/relationships/hyperlink" Target="https://login.consultant.ru/link/?req=doc&amp;base=LAW&amp;n=495181&amp;date=10.08.2026&amp;dst=12032&amp;field=134" TargetMode = "External"/><Relationship Id="rId74" Type="http://schemas.openxmlformats.org/officeDocument/2006/relationships/hyperlink" Target="https://login.consultant.ru/link/?req=doc&amp;base=LAW&amp;n=526597&amp;date=10.08.2026&amp;dst=100005&amp;field=134" TargetMode = "External"/><Relationship Id="rId75" Type="http://schemas.openxmlformats.org/officeDocument/2006/relationships/hyperlink" Target="https://login.consultant.ru/link/?req=doc&amp;base=LAW&amp;n=495181&amp;date=10.08.2026" TargetMode = "External"/><Relationship Id="rId76" Type="http://schemas.openxmlformats.org/officeDocument/2006/relationships/hyperlink" Target="https://login.consultant.ru/link/?req=doc&amp;base=LAW&amp;n=483052&amp;date=10.08.2026" TargetMode = "External"/><Relationship Id="rId77" Type="http://schemas.openxmlformats.org/officeDocument/2006/relationships/hyperlink" Target="https://login.consultant.ru/link/?req=doc&amp;base=LAW&amp;n=526597&amp;date=10.08.2026&amp;dst=100287&amp;field=134" TargetMode = "External"/><Relationship Id="rId78" Type="http://schemas.openxmlformats.org/officeDocument/2006/relationships/hyperlink" Target="https://login.consultant.ru/link/?req=doc&amp;base=LAW&amp;n=526597&amp;date=10.08.2026&amp;dst=100005&amp;field=134" TargetMode = "External"/><Relationship Id="rId79" Type="http://schemas.openxmlformats.org/officeDocument/2006/relationships/hyperlink" Target="https://login.consultant.ru/link/?req=doc&amp;base=LAW&amp;n=495181&amp;date=10.08.2026&amp;dst=12409&amp;field=134" TargetMode = "External"/><Relationship Id="rId80" Type="http://schemas.openxmlformats.org/officeDocument/2006/relationships/hyperlink" Target="https://login.consultant.ru/link/?req=doc&amp;base=LAW&amp;n=529683&amp;date=10.08.2026&amp;dst=11259&amp;field=134" TargetMode = "External"/><Relationship Id="rId81" Type="http://schemas.openxmlformats.org/officeDocument/2006/relationships/hyperlink" Target="https://login.consultant.ru/link/?req=doc&amp;base=LAW&amp;n=495181&amp;date=10.08.2026&amp;dst=12213&amp;field=134" TargetMode = "External"/><Relationship Id="rId82" Type="http://schemas.openxmlformats.org/officeDocument/2006/relationships/hyperlink" Target="https://login.consultant.ru/link/?req=doc&amp;base=LAW&amp;n=495181&amp;date=10.08.2026&amp;dst=2233&amp;field=134" TargetMode = "External"/><Relationship Id="rId83" Type="http://schemas.openxmlformats.org/officeDocument/2006/relationships/hyperlink" Target="https://login.consultant.ru/link/?req=doc&amp;base=LAW&amp;n=495181&amp;date=10.08.2026" TargetMode = "External"/><Relationship Id="rId84" Type="http://schemas.openxmlformats.org/officeDocument/2006/relationships/hyperlink" Target="https://login.consultant.ru/link/?req=doc&amp;base=LAW&amp;n=495181&amp;date=10.08.2026&amp;dst=2246&amp;field=134" TargetMode = "External"/><Relationship Id="rId85" Type="http://schemas.openxmlformats.org/officeDocument/2006/relationships/hyperlink" Target="https://login.consultant.ru/link/?req=doc&amp;base=LAW&amp;n=495181&amp;date=10.08.2026&amp;dst=158&amp;field=134" TargetMode = "External"/><Relationship Id="rId86" Type="http://schemas.openxmlformats.org/officeDocument/2006/relationships/hyperlink" Target="https://login.consultant.ru/link/?req=doc&amp;base=LAW&amp;n=495181&amp;date=10.08.2026&amp;dst=2233&amp;field=134" TargetMode = "External"/><Relationship Id="rId87" Type="http://schemas.openxmlformats.org/officeDocument/2006/relationships/hyperlink" Target="https://login.consultant.ru/link/?req=doc&amp;base=LAW&amp;n=495181&amp;date=10.08.2026&amp;dst=12213&amp;field=134" TargetMode = "External"/><Relationship Id="rId88" Type="http://schemas.openxmlformats.org/officeDocument/2006/relationships/hyperlink" Target="https://login.consultant.ru/link/?req=doc&amp;base=LAW&amp;n=495181&amp;date=10.08.2026&amp;dst=135&amp;field=134" TargetMode = "External"/><Relationship Id="rId89" Type="http://schemas.openxmlformats.org/officeDocument/2006/relationships/hyperlink" Target="https://login.consultant.ru/link/?req=doc&amp;base=LAW&amp;n=495181&amp;date=10.08.2026&amp;dst=2234&amp;field=134" TargetMode = "External"/><Relationship Id="rId90" Type="http://schemas.openxmlformats.org/officeDocument/2006/relationships/hyperlink" Target="https://login.consultant.ru/link/?req=doc&amp;base=LAW&amp;n=495181&amp;date=10.08.2026&amp;dst=12493&amp;field=134" TargetMode = "External"/><Relationship Id="rId91" Type="http://schemas.openxmlformats.org/officeDocument/2006/relationships/hyperlink" Target="https://login.consultant.ru/link/?req=doc&amp;base=LAW&amp;n=495181&amp;date=10.08.2026&amp;dst=2304&amp;field=134" TargetMode = "External"/><Relationship Id="rId92" Type="http://schemas.openxmlformats.org/officeDocument/2006/relationships/hyperlink" Target="https://login.consultant.ru/link/?req=doc&amp;base=LAW&amp;n=529683&amp;date=10.08.2026&amp;dst=11259&amp;field=134" TargetMode = "External"/><Relationship Id="rId93" Type="http://schemas.openxmlformats.org/officeDocument/2006/relationships/hyperlink" Target="https://login.consultant.ru/link/?req=doc&amp;base=PAS&amp;n=1049372&amp;date=10.08.2026" TargetMode = "External"/><Relationship Id="rId94" Type="http://schemas.openxmlformats.org/officeDocument/2006/relationships/hyperlink" Target="https://login.consultant.ru/link/?req=doc&amp;base=LAW&amp;n=528668&amp;date=10.08.2026&amp;dst=102008&amp;field=134" TargetMode = "External"/><Relationship Id="rId95" Type="http://schemas.openxmlformats.org/officeDocument/2006/relationships/hyperlink" Target="https://login.consultant.ru/link/?req=doc&amp;base=LAW&amp;n=528668&amp;date=10.08.2026&amp;dst=101160&amp;field=134" TargetMode = "External"/><Relationship Id="rId96" Type="http://schemas.openxmlformats.org/officeDocument/2006/relationships/hyperlink" Target="https://login.consultant.ru/link/?req=doc&amp;base=LAW&amp;n=528668&amp;date=10.08.2026&amp;dst=102159&amp;field=134" TargetMode = "External"/><Relationship Id="rId97" Type="http://schemas.openxmlformats.org/officeDocument/2006/relationships/hyperlink" Target="https://login.consultant.ru/link/?req=doc&amp;base=LAW&amp;n=495181&amp;date=10.08.2026&amp;dst=12409&amp;field=134" TargetMode = "External"/><Relationship Id="rId98" Type="http://schemas.openxmlformats.org/officeDocument/2006/relationships/hyperlink" Target="https://login.consultant.ru/link/?req=doc&amp;base=MARB&amp;n=3070759&amp;date=10.08.2026" TargetMode = "External"/><Relationship Id="rId99" Type="http://schemas.openxmlformats.org/officeDocument/2006/relationships/hyperlink" Target="https://login.consultant.ru/link/?req=doc&amp;base=LAW&amp;n=495181&amp;date=10.08.2026&amp;dst=2918&amp;field=134" TargetMode = "External"/><Relationship Id="rId100" Type="http://schemas.openxmlformats.org/officeDocument/2006/relationships/hyperlink" Target="https://login.consultant.ru/link/?req=doc&amp;base=LAW&amp;n=495181&amp;date=10.08.2026&amp;dst=101376&amp;field=134" TargetMode = "External"/><Relationship Id="rId101" Type="http://schemas.openxmlformats.org/officeDocument/2006/relationships/hyperlink" Target="www.zakupki.gov.ru" TargetMode = "External"/><Relationship Id="rId102" Type="http://schemas.openxmlformats.org/officeDocument/2006/relationships/hyperlink" Target="https://login.consultant.ru/link/?req=doc&amp;base=LAW&amp;n=495181&amp;date=10.08.2026&amp;dst=2918&amp;field=134" TargetMode = "External"/><Relationship Id="rId103" Type="http://schemas.openxmlformats.org/officeDocument/2006/relationships/hyperlink" Target="https://login.consultant.ru/link/?req=doc&amp;base=LAW&amp;n=495181&amp;date=10.08.2026&amp;dst=2111&amp;field=134" TargetMode = "External"/><Relationship Id="rId104" Type="http://schemas.openxmlformats.org/officeDocument/2006/relationships/hyperlink" Target="https://login.consultant.ru/link/?req=doc&amp;base=PAS&amp;n=1039544&amp;date=10.08.2026" TargetMode = "External"/><Relationship Id="rId105" Type="http://schemas.openxmlformats.org/officeDocument/2006/relationships/hyperlink" Target="https://login.consultant.ru/link/?req=doc&amp;base=LAW&amp;n=495181&amp;date=10.08.2026&amp;dst=2111&amp;field=134" TargetMode = "External"/><Relationship Id="rId106" Type="http://schemas.openxmlformats.org/officeDocument/2006/relationships/hyperlink" Target="https://login.consultant.ru/link/?req=doc&amp;base=LAW&amp;n=495181&amp;date=10.08.2026&amp;dst=101256&amp;field=134" TargetMode = "External"/><Relationship Id="rId107" Type="http://schemas.openxmlformats.org/officeDocument/2006/relationships/hyperlink" Target="https://login.consultant.ru/link/?req=doc&amp;base=LAW&amp;n=495181&amp;date=10.08.2026&amp;dst=2918&amp;field=134" TargetMode = "External"/><Relationship Id="rId108" Type="http://schemas.openxmlformats.org/officeDocument/2006/relationships/hyperlink" Target="https://login.consultant.ru/link/?req=doc&amp;base=LAW&amp;n=495181&amp;date=10.08.2026&amp;dst=2918&amp;field=134" TargetMode = "External"/><Relationship Id="rId109" Type="http://schemas.openxmlformats.org/officeDocument/2006/relationships/hyperlink" Target="https://login.consultant.ru/link/?req=doc&amp;base=LAW&amp;n=495181&amp;date=10.08.2026&amp;dst=2918&amp;field=134" TargetMode = "External"/><Relationship Id="rId110" Type="http://schemas.openxmlformats.org/officeDocument/2006/relationships/hyperlink" Target="https://login.consultant.ru/link/?req=doc&amp;base=LAW&amp;n=495181&amp;date=10.08.2026&amp;dst=2918&amp;field=134" TargetMode = "External"/><Relationship Id="rId111" Type="http://schemas.openxmlformats.org/officeDocument/2006/relationships/hyperlink" Target="https://login.consultant.ru/link/?req=doc&amp;base=LAW&amp;n=495181&amp;date=10.08.2026&amp;dst=2918&amp;field=134" TargetMode = "External"/><Relationship Id="rId112" Type="http://schemas.openxmlformats.org/officeDocument/2006/relationships/hyperlink" Target="https://login.consultant.ru/link/?req=doc&amp;base=MARB&amp;n=3073867&amp;date=10.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 сфере закупок для государственных и муниципальных нужд (март 2026 года)"
(Управление контроля размещения государственного заказа ФАС России)
(Подготовлен для системы КонсультантПлюс, 2026)</dc:title>
  <dcterms:created xsi:type="dcterms:W3CDTF">2026-08-10T08:22:08Z</dcterms:created>
</cp:coreProperties>
</file>