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6421F" w14:textId="77777777" w:rsidR="00000000" w:rsidRDefault="00000000">
      <w:pPr>
        <w:pStyle w:val="ConsPlusNormal"/>
        <w:jc w:val="both"/>
        <w:outlineLvl w:val="0"/>
      </w:pPr>
    </w:p>
    <w:p w14:paraId="40B35942" w14:textId="77777777" w:rsidR="00000000" w:rsidRDefault="00000000">
      <w:pPr>
        <w:pStyle w:val="ConsPlusTitle"/>
        <w:jc w:val="center"/>
      </w:pPr>
      <w:r>
        <w:t>УПРАВЛЕНИЕ ФЕДЕРАЛЬНОЙ АНТИМОНОПОЛЬНОЙ СЛУЖБЫ</w:t>
      </w:r>
    </w:p>
    <w:p w14:paraId="3B740315" w14:textId="77777777" w:rsidR="00000000" w:rsidRDefault="00000000">
      <w:pPr>
        <w:pStyle w:val="ConsPlusTitle"/>
        <w:jc w:val="center"/>
      </w:pPr>
      <w:r>
        <w:t>ПО ХАБАРОВСКОМУ КРАЮ</w:t>
      </w:r>
    </w:p>
    <w:p w14:paraId="6CA708C1" w14:textId="77777777" w:rsidR="00000000" w:rsidRDefault="00000000">
      <w:pPr>
        <w:pStyle w:val="ConsPlusTitle"/>
        <w:jc w:val="center"/>
      </w:pPr>
    </w:p>
    <w:p w14:paraId="5F07C2EE" w14:textId="77777777" w:rsidR="00000000" w:rsidRDefault="00000000">
      <w:pPr>
        <w:pStyle w:val="ConsPlusTitle"/>
        <w:jc w:val="center"/>
      </w:pPr>
      <w:r>
        <w:t>РЕШЕНИЕ</w:t>
      </w:r>
    </w:p>
    <w:p w14:paraId="47CE172D" w14:textId="77777777" w:rsidR="00000000" w:rsidRDefault="00000000">
      <w:pPr>
        <w:pStyle w:val="ConsPlusTitle"/>
        <w:jc w:val="center"/>
      </w:pPr>
      <w:r>
        <w:t>от 6 февраля 2023 г. N 28</w:t>
      </w:r>
    </w:p>
    <w:p w14:paraId="485BF6B5" w14:textId="77777777" w:rsidR="00000000" w:rsidRDefault="00000000">
      <w:pPr>
        <w:pStyle w:val="ConsPlusTitle"/>
        <w:jc w:val="center"/>
      </w:pPr>
    </w:p>
    <w:p w14:paraId="0B146409" w14:textId="77777777" w:rsidR="00000000" w:rsidRDefault="00000000">
      <w:pPr>
        <w:pStyle w:val="ConsPlusTitle"/>
        <w:jc w:val="center"/>
      </w:pPr>
      <w:r>
        <w:t>ПО РЕЗУЛЬТАТАМ ПРОВЕДЕНИЯ ВНЕПЛАНОВОГО</w:t>
      </w:r>
    </w:p>
    <w:p w14:paraId="284E5E6D" w14:textId="77777777" w:rsidR="00000000" w:rsidRDefault="00000000">
      <w:pPr>
        <w:pStyle w:val="ConsPlusTitle"/>
        <w:jc w:val="center"/>
      </w:pPr>
      <w:r>
        <w:t>КОНТРОЛЬНОГО МЕРОПРИЯТИЯ</w:t>
      </w:r>
    </w:p>
    <w:p w14:paraId="61893511" w14:textId="77777777" w:rsidR="00000000" w:rsidRDefault="00000000">
      <w:pPr>
        <w:pStyle w:val="ConsPlusNormal"/>
        <w:jc w:val="both"/>
      </w:pPr>
    </w:p>
    <w:p w14:paraId="67C5B33A" w14:textId="77777777" w:rsidR="00000000" w:rsidRDefault="00000000">
      <w:pPr>
        <w:pStyle w:val="ConsPlusNormal"/>
        <w:ind w:firstLine="540"/>
        <w:jc w:val="both"/>
      </w:pPr>
      <w:r>
        <w:t>Инспекцией управления Федеральной антимонопольной службы по Хабаровскому краю по контролю в сфере закупок в составе:</w:t>
      </w:r>
    </w:p>
    <w:p w14:paraId="2679A10C" w14:textId="77777777" w:rsidR="00000000" w:rsidRDefault="00000000">
      <w:pPr>
        <w:pStyle w:val="ConsPlusNormal"/>
        <w:spacing w:before="240"/>
        <w:ind w:firstLine="540"/>
        <w:jc w:val="both"/>
      </w:pPr>
      <w:r>
        <w:t>В присутствии представителей:</w:t>
      </w:r>
    </w:p>
    <w:p w14:paraId="23240F32" w14:textId="77777777" w:rsidR="00000000" w:rsidRDefault="00000000">
      <w:pPr>
        <w:pStyle w:val="ConsPlusNormal"/>
        <w:spacing w:before="240"/>
        <w:ind w:firstLine="540"/>
        <w:jc w:val="both"/>
      </w:pPr>
      <w:r>
        <w:t>От заказчика - ФГБУ "Ц": П., представитель по доверенности N 38/2023 от 23.01.2023; К., представитель по доверенности N 39/2023 от 23.01.2023.</w:t>
      </w:r>
    </w:p>
    <w:p w14:paraId="3967AFBB" w14:textId="77777777" w:rsidR="00000000" w:rsidRDefault="00000000">
      <w:pPr>
        <w:pStyle w:val="ConsPlusNormal"/>
        <w:spacing w:before="240"/>
        <w:ind w:firstLine="540"/>
        <w:jc w:val="both"/>
      </w:pPr>
      <w:r>
        <w:t>От АСО "О": представитель не явился (о дате, времени и месте рассмотрения уведомлены надлежащим образом).</w:t>
      </w:r>
    </w:p>
    <w:p w14:paraId="59CD661C" w14:textId="77777777" w:rsidR="00000000" w:rsidRDefault="00000000">
      <w:pPr>
        <w:pStyle w:val="ConsPlusNormal"/>
        <w:spacing w:before="240"/>
        <w:ind w:firstLine="540"/>
        <w:jc w:val="both"/>
      </w:pPr>
      <w:r>
        <w:t xml:space="preserve">в связи с поступлением обращения от АСО "О", о наличии признаков нарушения законодательства Российской Федерации и иных нормативных правовых актов о контрактной системе в сфере закупок и на основании </w:t>
      </w:r>
      <w:hyperlink r:id="rId6" w:history="1">
        <w:r>
          <w:rPr>
            <w:color w:val="0000FF"/>
          </w:rPr>
          <w:t>статьи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проведена проверка действий заказчика - ФГБУ "Ц" на предмет соблюдения требований </w:t>
      </w:r>
      <w:hyperlink r:id="rId7" w:history="1">
        <w:r>
          <w:rPr>
            <w:color w:val="0000FF"/>
          </w:rPr>
          <w:t>Закона</w:t>
        </w:r>
      </w:hyperlink>
      <w:r>
        <w:t xml:space="preserve"> о контрактной системе.</w:t>
      </w:r>
    </w:p>
    <w:p w14:paraId="37D31D75" w14:textId="77777777" w:rsidR="00000000" w:rsidRDefault="00000000">
      <w:pPr>
        <w:pStyle w:val="ConsPlusNormal"/>
        <w:spacing w:before="240"/>
        <w:ind w:firstLine="540"/>
        <w:jc w:val="both"/>
      </w:pPr>
      <w:r>
        <w:t>В ходе проведения проверки Инспекция Хабаровского УФАС России,</w:t>
      </w:r>
    </w:p>
    <w:p w14:paraId="391DF0D0" w14:textId="77777777" w:rsidR="00000000" w:rsidRDefault="00000000">
      <w:pPr>
        <w:pStyle w:val="ConsPlusNormal"/>
        <w:jc w:val="both"/>
      </w:pPr>
    </w:p>
    <w:p w14:paraId="4CAC3733" w14:textId="77777777" w:rsidR="00000000" w:rsidRDefault="00000000">
      <w:pPr>
        <w:pStyle w:val="ConsPlusNormal"/>
        <w:jc w:val="center"/>
      </w:pPr>
      <w:r>
        <w:t>установила:</w:t>
      </w:r>
    </w:p>
    <w:p w14:paraId="05CE7EFD" w14:textId="77777777" w:rsidR="00000000" w:rsidRDefault="00000000">
      <w:pPr>
        <w:pStyle w:val="ConsPlusNormal"/>
        <w:jc w:val="both"/>
      </w:pPr>
    </w:p>
    <w:p w14:paraId="5DEA731F" w14:textId="77777777" w:rsidR="00000000" w:rsidRDefault="00000000">
      <w:pPr>
        <w:pStyle w:val="ConsPlusNormal"/>
        <w:ind w:firstLine="540"/>
        <w:jc w:val="both"/>
      </w:pPr>
      <w:r>
        <w:t>В Хабаровское УФАС России поступило обращение от АСО "О" (далее - Заявитель) на действия заказчика - ФГБУ "Ц" (ИНН &lt;...&gt;) при заключении контракта на оказание услуг исполнителем по поверке, калибровке средств измерений, аттестации испытательного оборудования, метрологического контроля состояния изделий медицинской техники (Реестровый номер контракта 12721111198 22 000027).</w:t>
      </w:r>
    </w:p>
    <w:p w14:paraId="064F437B" w14:textId="77777777" w:rsidR="00000000" w:rsidRDefault="00000000">
      <w:pPr>
        <w:pStyle w:val="ConsPlusNormal"/>
        <w:spacing w:before="240"/>
        <w:ind w:firstLine="540"/>
        <w:jc w:val="both"/>
      </w:pPr>
      <w:r>
        <w:t>Из обращения следует, что заключенный контракт не содержит обоснование начальной (максимальной) цены контракта.</w:t>
      </w:r>
    </w:p>
    <w:p w14:paraId="29DC89A5" w14:textId="77777777" w:rsidR="00000000" w:rsidRDefault="00000000">
      <w:pPr>
        <w:pStyle w:val="ConsPlusNormal"/>
        <w:spacing w:before="240"/>
        <w:ind w:firstLine="540"/>
        <w:jc w:val="both"/>
      </w:pPr>
      <w:r>
        <w:t xml:space="preserve">На основании </w:t>
      </w:r>
      <w:hyperlink r:id="rId8" w:history="1">
        <w:r>
          <w:rPr>
            <w:color w:val="0000FF"/>
          </w:rPr>
          <w:t>статьи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Хабаровским УФАС России принято решение о проведении внеплановой проверки, по результатам проведения которой установлено следующее.</w:t>
      </w:r>
    </w:p>
    <w:p w14:paraId="0C994F1E" w14:textId="77777777" w:rsidR="00000000" w:rsidRDefault="00000000">
      <w:pPr>
        <w:pStyle w:val="ConsPlusNormal"/>
        <w:spacing w:before="240"/>
        <w:ind w:firstLine="540"/>
        <w:jc w:val="both"/>
      </w:pPr>
      <w:r>
        <w:t xml:space="preserve">18.07.2022 заключен государственный контракт на оказание услуг исполнителем по поверке, калибровке средств измерений, аттестации испытательного оборудования, метрологического контроля состояния изделий медицинской техники (Реестровый номер контракта 12721111198 22 000027) с единственным поставщиком ФБУ "П" (на основании </w:t>
      </w:r>
      <w:hyperlink r:id="rId9" w:history="1">
        <w:r>
          <w:rPr>
            <w:color w:val="0000FF"/>
          </w:rPr>
          <w:t>п. 6 ч. 1 ст. 93</w:t>
        </w:r>
      </w:hyperlink>
      <w:r>
        <w:t xml:space="preserve"> Закона о контрактной системе) на сумму 619811,78 рублей.</w:t>
      </w:r>
    </w:p>
    <w:p w14:paraId="707CF302" w14:textId="77777777" w:rsidR="00000000" w:rsidRDefault="00000000">
      <w:pPr>
        <w:pStyle w:val="ConsPlusNormal"/>
        <w:spacing w:before="240"/>
        <w:ind w:firstLine="540"/>
        <w:jc w:val="both"/>
      </w:pPr>
      <w:r>
        <w:lastRenderedPageBreak/>
        <w:t>Изучив материалы дела N 7-3/94, Инспекция Хабаровского УФАС России пришла к следующим выводам.</w:t>
      </w:r>
    </w:p>
    <w:p w14:paraId="04838E03" w14:textId="77777777" w:rsidR="00000000" w:rsidRDefault="00000000">
      <w:pPr>
        <w:pStyle w:val="ConsPlusNormal"/>
        <w:spacing w:before="240"/>
        <w:ind w:firstLine="540"/>
        <w:jc w:val="both"/>
      </w:pPr>
      <w:r>
        <w:t xml:space="preserve">Согласно </w:t>
      </w:r>
      <w:hyperlink r:id="rId10" w:history="1">
        <w:r>
          <w:rPr>
            <w:color w:val="0000FF"/>
          </w:rPr>
          <w:t>п. 6 ч. 1 ст. 93</w:t>
        </w:r>
      </w:hyperlink>
      <w:r>
        <w:t xml:space="preserve"> Закона о контрактной системе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45EBCD59" w14:textId="77777777" w:rsidR="00000000" w:rsidRDefault="00000000">
      <w:pPr>
        <w:pStyle w:val="ConsPlusNormal"/>
        <w:spacing w:before="240"/>
        <w:ind w:firstLine="540"/>
        <w:jc w:val="both"/>
      </w:pPr>
      <w:r>
        <w:t xml:space="preserve">Согласно </w:t>
      </w:r>
      <w:hyperlink r:id="rId11" w:history="1">
        <w:r>
          <w:rPr>
            <w:color w:val="0000FF"/>
          </w:rPr>
          <w:t>ч. 2 ст. 93</w:t>
        </w:r>
      </w:hyperlink>
      <w:r>
        <w:t xml:space="preserve"> Закона о контрактной системе при осуществлении закупки у единственного поставщика (подрядчика, исполнителя) в случаях, предусмотренных </w:t>
      </w:r>
      <w:hyperlink r:id="rId12" w:history="1">
        <w:r>
          <w:rPr>
            <w:color w:val="0000FF"/>
          </w:rPr>
          <w:t>пунктами 6</w:t>
        </w:r>
      </w:hyperlink>
      <w:r>
        <w:t xml:space="preserve">, </w:t>
      </w:r>
      <w:hyperlink r:id="rId13" w:history="1">
        <w:r>
          <w:rPr>
            <w:color w:val="0000FF"/>
          </w:rPr>
          <w:t>9</w:t>
        </w:r>
      </w:hyperlink>
      <w:r>
        <w:t xml:space="preserve">, </w:t>
      </w:r>
      <w:hyperlink r:id="rId14" w:history="1">
        <w:r>
          <w:rPr>
            <w:color w:val="0000FF"/>
          </w:rPr>
          <w:t>34</w:t>
        </w:r>
      </w:hyperlink>
      <w:r>
        <w:t xml:space="preserve"> и </w:t>
      </w:r>
      <w:hyperlink r:id="rId15" w:history="1">
        <w:r>
          <w:rPr>
            <w:color w:val="0000FF"/>
          </w:rPr>
          <w:t>50 части 1 настоящей статьи</w:t>
        </w:r>
      </w:hyperlink>
      <w:r>
        <w:t>,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14:paraId="0231BB62" w14:textId="77777777" w:rsidR="00000000" w:rsidRDefault="00000000">
      <w:pPr>
        <w:pStyle w:val="ConsPlusNormal"/>
        <w:spacing w:before="240"/>
        <w:ind w:firstLine="540"/>
        <w:jc w:val="both"/>
      </w:pPr>
      <w:r>
        <w:t xml:space="preserve">Согласно </w:t>
      </w:r>
      <w:hyperlink r:id="rId16" w:history="1">
        <w:r>
          <w:rPr>
            <w:color w:val="0000FF"/>
          </w:rPr>
          <w:t>ч. 4 ст. 93</w:t>
        </w:r>
      </w:hyperlink>
      <w:r>
        <w:t xml:space="preserve"> Закона о контрактной системе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r:id="rId17" w:history="1">
        <w:r>
          <w:rPr>
            <w:color w:val="0000FF"/>
          </w:rPr>
          <w:t>законом</w:t>
        </w:r>
      </w:hyperlink>
      <w:r>
        <w:t xml:space="preserve">. При этом в случаях, предусмотренных </w:t>
      </w:r>
      <w:hyperlink r:id="rId18" w:history="1">
        <w:r>
          <w:rPr>
            <w:color w:val="0000FF"/>
          </w:rPr>
          <w:t>пунктами 3</w:t>
        </w:r>
      </w:hyperlink>
      <w:r>
        <w:t xml:space="preserve">, </w:t>
      </w:r>
      <w:hyperlink r:id="rId19" w:history="1">
        <w:r>
          <w:rPr>
            <w:color w:val="0000FF"/>
          </w:rPr>
          <w:t>6</w:t>
        </w:r>
      </w:hyperlink>
      <w:r>
        <w:t xml:space="preserve">, </w:t>
      </w:r>
      <w:hyperlink r:id="rId20" w:history="1">
        <w:r>
          <w:rPr>
            <w:color w:val="0000FF"/>
          </w:rPr>
          <w:t>11</w:t>
        </w:r>
      </w:hyperlink>
      <w:r>
        <w:t xml:space="preserve">, </w:t>
      </w:r>
      <w:hyperlink r:id="rId21" w:history="1">
        <w:r>
          <w:rPr>
            <w:color w:val="0000FF"/>
          </w:rPr>
          <w:t>12</w:t>
        </w:r>
      </w:hyperlink>
      <w:r>
        <w:t xml:space="preserve">, </w:t>
      </w:r>
      <w:hyperlink r:id="rId22" w:history="1">
        <w:r>
          <w:rPr>
            <w:color w:val="0000FF"/>
          </w:rPr>
          <w:t>16</w:t>
        </w:r>
      </w:hyperlink>
      <w:r>
        <w:t xml:space="preserve">, </w:t>
      </w:r>
      <w:hyperlink r:id="rId23" w:history="1">
        <w:r>
          <w:rPr>
            <w:color w:val="0000FF"/>
          </w:rPr>
          <w:t>18</w:t>
        </w:r>
      </w:hyperlink>
      <w:r>
        <w:t xml:space="preserve">, </w:t>
      </w:r>
      <w:hyperlink r:id="rId24" w:history="1">
        <w:r>
          <w:rPr>
            <w:color w:val="0000FF"/>
          </w:rPr>
          <w:t>19</w:t>
        </w:r>
      </w:hyperlink>
      <w:r>
        <w:t xml:space="preserve">, </w:t>
      </w:r>
      <w:hyperlink r:id="rId25" w:history="1">
        <w:r>
          <w:rPr>
            <w:color w:val="0000FF"/>
          </w:rPr>
          <w:t>22</w:t>
        </w:r>
      </w:hyperlink>
      <w:r>
        <w:t xml:space="preserve">, </w:t>
      </w:r>
      <w:hyperlink r:id="rId26" w:history="1">
        <w:r>
          <w:rPr>
            <w:color w:val="0000FF"/>
          </w:rPr>
          <w:t>23</w:t>
        </w:r>
      </w:hyperlink>
      <w:r>
        <w:t xml:space="preserve">, </w:t>
      </w:r>
      <w:hyperlink r:id="rId27" w:history="1">
        <w:r>
          <w:rPr>
            <w:color w:val="0000FF"/>
          </w:rPr>
          <w:t>30</w:t>
        </w:r>
      </w:hyperlink>
      <w:r>
        <w:t xml:space="preserve"> - </w:t>
      </w:r>
      <w:hyperlink r:id="rId28" w:history="1">
        <w:r>
          <w:rPr>
            <w:color w:val="0000FF"/>
          </w:rPr>
          <w:t>35</w:t>
        </w:r>
      </w:hyperlink>
      <w:r>
        <w:t xml:space="preserve">, </w:t>
      </w:r>
      <w:hyperlink r:id="rId29" w:history="1">
        <w:r>
          <w:rPr>
            <w:color w:val="0000FF"/>
          </w:rPr>
          <w:t>37</w:t>
        </w:r>
      </w:hyperlink>
      <w:r>
        <w:t xml:space="preserve"> - </w:t>
      </w:r>
      <w:hyperlink r:id="rId30" w:history="1">
        <w:r>
          <w:rPr>
            <w:color w:val="0000FF"/>
          </w:rPr>
          <w:t>41</w:t>
        </w:r>
      </w:hyperlink>
      <w:r>
        <w:t xml:space="preserve">, </w:t>
      </w:r>
      <w:hyperlink r:id="rId31" w:history="1">
        <w:r>
          <w:rPr>
            <w:color w:val="0000FF"/>
          </w:rPr>
          <w:t>46</w:t>
        </w:r>
      </w:hyperlink>
      <w:r>
        <w:t xml:space="preserve"> и </w:t>
      </w:r>
      <w:hyperlink r:id="rId32" w:history="1">
        <w:r>
          <w:rPr>
            <w:color w:val="0000FF"/>
          </w:rPr>
          <w:t>49 части 1 настоящей статьи</w:t>
        </w:r>
      </w:hyperlink>
      <w:r>
        <w:t xml:space="preserve">, заказчик обосновывает такую цену в соответствии с настоящим Федеральным </w:t>
      </w:r>
      <w:hyperlink r:id="rId33" w:history="1">
        <w:r>
          <w:rPr>
            <w:color w:val="0000FF"/>
          </w:rPr>
          <w:t>законом</w:t>
        </w:r>
      </w:hyperlink>
      <w:r>
        <w:t xml:space="preserve"> и включает в контракт обоснование цены контракта.</w:t>
      </w:r>
    </w:p>
    <w:p w14:paraId="48EE4F3B" w14:textId="77777777" w:rsidR="00000000" w:rsidRDefault="00000000">
      <w:pPr>
        <w:pStyle w:val="ConsPlusNormal"/>
        <w:spacing w:before="240"/>
        <w:ind w:firstLine="540"/>
        <w:jc w:val="both"/>
      </w:pPr>
      <w:r>
        <w:t xml:space="preserve">Как следует из пояснений заказчика направленные на поверку заказчиком средства измерения в соответствии с </w:t>
      </w:r>
      <w:hyperlink r:id="rId34" w:history="1">
        <w:r>
          <w:rPr>
            <w:color w:val="0000FF"/>
          </w:rPr>
          <w:t>Постановлением</w:t>
        </w:r>
      </w:hyperlink>
      <w:r>
        <w:t xml:space="preserve"> Правительства Российской Федерации от 20.04.2010 N 250 входят в утвержденный перечень средств измерений,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w:t>
      </w:r>
    </w:p>
    <w:p w14:paraId="79625FDA" w14:textId="77777777" w:rsidR="00000000" w:rsidRDefault="00000000">
      <w:pPr>
        <w:pStyle w:val="ConsPlusNormal"/>
        <w:spacing w:before="240"/>
        <w:ind w:firstLine="540"/>
        <w:jc w:val="both"/>
      </w:pPr>
      <w:r>
        <w:t xml:space="preserve">В соответствии с </w:t>
      </w:r>
      <w:hyperlink r:id="rId35" w:history="1">
        <w:r>
          <w:rPr>
            <w:color w:val="0000FF"/>
          </w:rPr>
          <w:t>ч. 6 ст. 21</w:t>
        </w:r>
      </w:hyperlink>
      <w:r>
        <w:t xml:space="preserve"> Федерального закона от 26.06.2008 г. N 102-ФЗ "Об обеспечении единства измерений" проведение поверки средств измерений, входящих в перечень средств измерений, осуществляется государственными региональными центрами метрологии.</w:t>
      </w:r>
    </w:p>
    <w:p w14:paraId="4E0421BC" w14:textId="77777777" w:rsidR="00000000" w:rsidRDefault="00000000">
      <w:pPr>
        <w:pStyle w:val="ConsPlusNormal"/>
        <w:spacing w:before="240"/>
        <w:ind w:firstLine="540"/>
        <w:jc w:val="both"/>
      </w:pPr>
      <w:r>
        <w:t>Тариф на услуги и работы государственного учреждения (ФБУ "П" устанавливается на основании решения органа исполнительной власти - Федерального агентства по техническому регулированию и метрологии.</w:t>
      </w:r>
    </w:p>
    <w:p w14:paraId="0F8F06BC" w14:textId="77777777" w:rsidR="00000000" w:rsidRDefault="00000000">
      <w:pPr>
        <w:pStyle w:val="ConsPlusNormal"/>
        <w:spacing w:before="240"/>
        <w:ind w:firstLine="540"/>
        <w:jc w:val="both"/>
      </w:pPr>
      <w:r>
        <w:t xml:space="preserve">Приложение 1 к контракту содержит спецификацию с расчетом цены контракта с указанием наименования приборов, количества и стоимости поверки оборудования. Таким образом, Инспекция Хабаровского УФАС России приходит к выводу об отсутствии в действиях заказчика </w:t>
      </w:r>
      <w:r>
        <w:lastRenderedPageBreak/>
        <w:t xml:space="preserve">нарушений </w:t>
      </w:r>
      <w:hyperlink r:id="rId36" w:history="1">
        <w:r>
          <w:rPr>
            <w:color w:val="0000FF"/>
          </w:rPr>
          <w:t>Закона</w:t>
        </w:r>
      </w:hyperlink>
      <w:r>
        <w:t xml:space="preserve"> о контрактной системе.</w:t>
      </w:r>
    </w:p>
    <w:p w14:paraId="7D02212D" w14:textId="77777777" w:rsidR="00000000" w:rsidRDefault="00000000">
      <w:pPr>
        <w:pStyle w:val="ConsPlusNormal"/>
        <w:spacing w:before="240"/>
        <w:ind w:firstLine="540"/>
        <w:jc w:val="both"/>
      </w:pPr>
      <w:r>
        <w:t xml:space="preserve">На основании вышеизложенного, руководствуясь </w:t>
      </w:r>
      <w:hyperlink r:id="rId37" w:history="1">
        <w:r>
          <w:rPr>
            <w:color w:val="0000FF"/>
          </w:rPr>
          <w:t>ст.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Инспекция</w:t>
      </w:r>
    </w:p>
    <w:p w14:paraId="55BFB51B" w14:textId="77777777" w:rsidR="00000000" w:rsidRDefault="00000000">
      <w:pPr>
        <w:pStyle w:val="ConsPlusNormal"/>
        <w:jc w:val="both"/>
      </w:pPr>
    </w:p>
    <w:p w14:paraId="3693AD18" w14:textId="77777777" w:rsidR="00000000" w:rsidRDefault="00000000">
      <w:pPr>
        <w:pStyle w:val="ConsPlusNormal"/>
        <w:jc w:val="center"/>
      </w:pPr>
      <w:r>
        <w:t>решила:</w:t>
      </w:r>
    </w:p>
    <w:p w14:paraId="5A6434DA" w14:textId="77777777" w:rsidR="00000000" w:rsidRDefault="00000000">
      <w:pPr>
        <w:pStyle w:val="ConsPlusNormal"/>
        <w:jc w:val="both"/>
      </w:pPr>
    </w:p>
    <w:p w14:paraId="514C85CE" w14:textId="77777777" w:rsidR="00000000" w:rsidRDefault="00000000">
      <w:pPr>
        <w:pStyle w:val="ConsPlusNormal"/>
        <w:ind w:firstLine="540"/>
        <w:jc w:val="both"/>
      </w:pPr>
      <w:r>
        <w:t xml:space="preserve">Признать доводы, изложенные в обращении АСО "О" о нарушении заказчиком ФГБУ "Ц" (ИНН &lt;...&gt;) при заключении контракта на оказание услуг исполнителем по поверке, калибровке средств измерений, аттестации испытательного оборудования, метрологического контроля состояния изделий медицинской техники (Реестровый номер контракта 12721111198 22 000027) положений </w:t>
      </w:r>
      <w:hyperlink r:id="rId38" w:history="1">
        <w:r>
          <w:rPr>
            <w:color w:val="0000FF"/>
          </w:rPr>
          <w:t>Закона</w:t>
        </w:r>
      </w:hyperlink>
      <w:r>
        <w:t xml:space="preserve"> о контрактной системе - не обоснованными.</w:t>
      </w:r>
    </w:p>
    <w:p w14:paraId="7FB61E47" w14:textId="77777777" w:rsidR="00000000" w:rsidRDefault="00000000">
      <w:pPr>
        <w:pStyle w:val="ConsPlusNormal"/>
        <w:spacing w:before="240"/>
        <w:ind w:firstLine="540"/>
        <w:jc w:val="both"/>
      </w:pPr>
      <w:r>
        <w:t>Настоящее решение может быть обжаловано в Арбитражный суд Хабаровского края в течение трех месяцев со дня его оглашения.</w:t>
      </w:r>
    </w:p>
    <w:p w14:paraId="08B47FF5" w14:textId="77777777" w:rsidR="00000000" w:rsidRDefault="00000000">
      <w:pPr>
        <w:pStyle w:val="ConsPlusNormal"/>
        <w:jc w:val="both"/>
      </w:pPr>
    </w:p>
    <w:p w14:paraId="0F9D9EB7" w14:textId="77777777" w:rsidR="00000000" w:rsidRDefault="00000000">
      <w:pPr>
        <w:pStyle w:val="ConsPlusNormal"/>
        <w:jc w:val="both"/>
      </w:pPr>
    </w:p>
    <w:p w14:paraId="2CDE9B9D" w14:textId="77777777" w:rsidR="003C153B" w:rsidRDefault="003C153B">
      <w:pPr>
        <w:pStyle w:val="ConsPlusNormal"/>
        <w:pBdr>
          <w:top w:val="single" w:sz="6" w:space="0" w:color="auto"/>
        </w:pBdr>
        <w:spacing w:before="100" w:after="100"/>
        <w:jc w:val="both"/>
        <w:rPr>
          <w:sz w:val="2"/>
          <w:szCs w:val="2"/>
        </w:rPr>
      </w:pPr>
    </w:p>
    <w:sectPr w:rsidR="003C153B">
      <w:headerReference w:type="even" r:id="rId39"/>
      <w:headerReference w:type="default" r:id="rId40"/>
      <w:footerReference w:type="even" r:id="rId41"/>
      <w:footerReference w:type="default" r:id="rId42"/>
      <w:headerReference w:type="first" r:id="rId43"/>
      <w:footerReference w:type="first" r:id="rId44"/>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D03E" w14:textId="77777777" w:rsidR="003C153B" w:rsidRDefault="003C153B">
      <w:pPr>
        <w:spacing w:after="0" w:line="240" w:lineRule="auto"/>
      </w:pPr>
      <w:r>
        <w:separator/>
      </w:r>
    </w:p>
  </w:endnote>
  <w:endnote w:type="continuationSeparator" w:id="0">
    <w:p w14:paraId="46DA1C08" w14:textId="77777777" w:rsidR="003C153B" w:rsidRDefault="003C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DFF6" w14:textId="77777777" w:rsidR="00477DB9" w:rsidRDefault="00477D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F7EA" w14:textId="77777777" w:rsidR="00000000" w:rsidRDefault="00000000">
    <w:pPr>
      <w:pStyle w:val="ConsPlusNormal"/>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37C59" w14:textId="77777777" w:rsidR="00000000" w:rsidRDefault="0000000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1637" w14:textId="77777777" w:rsidR="003C153B" w:rsidRDefault="003C153B">
      <w:pPr>
        <w:spacing w:after="0" w:line="240" w:lineRule="auto"/>
      </w:pPr>
      <w:r>
        <w:separator/>
      </w:r>
    </w:p>
  </w:footnote>
  <w:footnote w:type="continuationSeparator" w:id="0">
    <w:p w14:paraId="59B2F649" w14:textId="77777777" w:rsidR="003C153B" w:rsidRDefault="003C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39F7F" w14:textId="77777777" w:rsidR="00477DB9" w:rsidRDefault="00477D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D570A" w14:textId="77777777" w:rsidR="00000000" w:rsidRDefault="00000000">
    <w:pPr>
      <w:pStyle w:val="ConsPlusNormal"/>
    </w:pPr>
    <w:r>
      <w:rPr>
        <w:sz w:val="10"/>
        <w:szCs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007" w14:textId="77777777" w:rsidR="00000000" w:rsidRDefault="00000000">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DB9"/>
    <w:rsid w:val="003C153B"/>
    <w:rsid w:val="00477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2790FD97"/>
  <w14:defaultImageDpi w14:val="0"/>
  <w15:docId w15:val="{89F30771-A2FE-42E3-8DFB-B1F3407F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styleId="a3">
    <w:name w:val="header"/>
    <w:basedOn w:val="a"/>
    <w:link w:val="a4"/>
    <w:uiPriority w:val="99"/>
    <w:unhideWhenUsed/>
    <w:rsid w:val="00477DB9"/>
    <w:pPr>
      <w:tabs>
        <w:tab w:val="center" w:pos="4677"/>
        <w:tab w:val="right" w:pos="9355"/>
      </w:tabs>
    </w:pPr>
  </w:style>
  <w:style w:type="character" w:customStyle="1" w:styleId="a4">
    <w:name w:val="Верхний колонтитул Знак"/>
    <w:basedOn w:val="a0"/>
    <w:link w:val="a3"/>
    <w:uiPriority w:val="99"/>
    <w:rsid w:val="00477DB9"/>
  </w:style>
  <w:style w:type="paragraph" w:styleId="a5">
    <w:name w:val="footer"/>
    <w:basedOn w:val="a"/>
    <w:link w:val="a6"/>
    <w:uiPriority w:val="99"/>
    <w:unhideWhenUsed/>
    <w:rsid w:val="00477DB9"/>
    <w:pPr>
      <w:tabs>
        <w:tab w:val="center" w:pos="4677"/>
        <w:tab w:val="right" w:pos="9355"/>
      </w:tabs>
    </w:pPr>
  </w:style>
  <w:style w:type="character" w:customStyle="1" w:styleId="a6">
    <w:name w:val="Нижний колонтитул Знак"/>
    <w:basedOn w:val="a0"/>
    <w:link w:val="a5"/>
    <w:uiPriority w:val="99"/>
    <w:rsid w:val="0047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1&amp;base=LAW&amp;n=410704&amp;date=21.10.2024&amp;dst=101376&amp;field=134" TargetMode="External"/><Relationship Id="rId13" Type="http://schemas.openxmlformats.org/officeDocument/2006/relationships/hyperlink" Target="https://login.consultant.ru/link/?req=doc&amp;demo=1&amp;base=LAW&amp;n=410704&amp;date=21.10.2024&amp;dst=2918&amp;field=134" TargetMode="External"/><Relationship Id="rId18" Type="http://schemas.openxmlformats.org/officeDocument/2006/relationships/hyperlink" Target="https://login.consultant.ru/link/?req=doc&amp;demo=1&amp;base=LAW&amp;n=410704&amp;date=21.10.2024&amp;dst=101260&amp;field=134" TargetMode="External"/><Relationship Id="rId26" Type="http://schemas.openxmlformats.org/officeDocument/2006/relationships/hyperlink" Target="https://login.consultant.ru/link/?req=doc&amp;demo=1&amp;base=LAW&amp;n=410704&amp;date=21.10.2024&amp;dst=2919&amp;field=134"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login.consultant.ru/link/?req=doc&amp;demo=1&amp;base=LAW&amp;n=410704&amp;date=21.10.2024&amp;dst=101269&amp;field=134" TargetMode="External"/><Relationship Id="rId34" Type="http://schemas.openxmlformats.org/officeDocument/2006/relationships/hyperlink" Target="https://login.consultant.ru/link/?req=doc&amp;demo=1&amp;base=LAW&amp;n=397471&amp;date=21.10.2024" TargetMode="External"/><Relationship Id="rId42" Type="http://schemas.openxmlformats.org/officeDocument/2006/relationships/footer" Target="footer2.xml"/><Relationship Id="rId7" Type="http://schemas.openxmlformats.org/officeDocument/2006/relationships/hyperlink" Target="https://login.consultant.ru/link/?req=doc&amp;demo=1&amp;base=LAW&amp;n=410704&amp;date=21.10.2024" TargetMode="External"/><Relationship Id="rId12" Type="http://schemas.openxmlformats.org/officeDocument/2006/relationships/hyperlink" Target="https://login.consultant.ru/link/?req=doc&amp;demo=1&amp;base=LAW&amp;n=410704&amp;date=21.10.2024&amp;dst=12184&amp;field=134" TargetMode="External"/><Relationship Id="rId17" Type="http://schemas.openxmlformats.org/officeDocument/2006/relationships/hyperlink" Target="https://login.consultant.ru/link/?req=doc&amp;demo=1&amp;base=LAW&amp;n=410704&amp;date=21.10.2024" TargetMode="External"/><Relationship Id="rId25" Type="http://schemas.openxmlformats.org/officeDocument/2006/relationships/hyperlink" Target="https://login.consultant.ru/link/?req=doc&amp;demo=1&amp;base=LAW&amp;n=410704&amp;date=21.10.2024&amp;dst=101279&amp;field=134" TargetMode="External"/><Relationship Id="rId33" Type="http://schemas.openxmlformats.org/officeDocument/2006/relationships/hyperlink" Target="https://login.consultant.ru/link/?req=doc&amp;demo=1&amp;base=LAW&amp;n=410704&amp;date=21.10.2024" TargetMode="External"/><Relationship Id="rId38" Type="http://schemas.openxmlformats.org/officeDocument/2006/relationships/hyperlink" Target="https://login.consultant.ru/link/?req=doc&amp;demo=1&amp;base=LAW&amp;n=410704&amp;date=21.10.2024"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demo=1&amp;base=LAW&amp;n=410704&amp;date=21.10.2024&amp;dst=2931&amp;field=134" TargetMode="External"/><Relationship Id="rId20" Type="http://schemas.openxmlformats.org/officeDocument/2006/relationships/hyperlink" Target="https://login.consultant.ru/link/?req=doc&amp;demo=1&amp;base=LAW&amp;n=410704&amp;date=21.10.2024&amp;dst=1995&amp;field=134" TargetMode="External"/><Relationship Id="rId29" Type="http://schemas.openxmlformats.org/officeDocument/2006/relationships/hyperlink" Target="https://login.consultant.ru/link/?req=doc&amp;demo=1&amp;base=LAW&amp;n=410704&amp;date=21.10.2024&amp;dst=101968&amp;field=134"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demo=1&amp;base=LAW&amp;n=410704&amp;date=21.10.2024&amp;dst=101376&amp;field=134" TargetMode="External"/><Relationship Id="rId11" Type="http://schemas.openxmlformats.org/officeDocument/2006/relationships/hyperlink" Target="https://login.consultant.ru/link/?req=doc&amp;demo=1&amp;base=LAW&amp;n=410704&amp;date=21.10.2024&amp;dst=1348&amp;field=134" TargetMode="External"/><Relationship Id="rId24" Type="http://schemas.openxmlformats.org/officeDocument/2006/relationships/hyperlink" Target="https://login.consultant.ru/link/?req=doc&amp;demo=1&amp;base=LAW&amp;n=410704&amp;date=21.10.2024&amp;dst=101276&amp;field=134" TargetMode="External"/><Relationship Id="rId32" Type="http://schemas.openxmlformats.org/officeDocument/2006/relationships/hyperlink" Target="https://login.consultant.ru/link/?req=doc&amp;demo=1&amp;base=LAW&amp;n=410704&amp;date=21.10.2024&amp;dst=1993&amp;field=134" TargetMode="External"/><Relationship Id="rId37" Type="http://schemas.openxmlformats.org/officeDocument/2006/relationships/hyperlink" Target="https://login.consultant.ru/link/?req=doc&amp;demo=1&amp;base=LAW&amp;n=410704&amp;date=21.10.2024&amp;dst=101376&amp;field=134"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demo=1&amp;base=LAW&amp;n=410704&amp;date=21.10.2024&amp;dst=304&amp;field=134" TargetMode="External"/><Relationship Id="rId23" Type="http://schemas.openxmlformats.org/officeDocument/2006/relationships/hyperlink" Target="https://login.consultant.ru/link/?req=doc&amp;demo=1&amp;base=LAW&amp;n=410704&amp;date=21.10.2024&amp;dst=101275&amp;field=134" TargetMode="External"/><Relationship Id="rId28" Type="http://schemas.openxmlformats.org/officeDocument/2006/relationships/hyperlink" Target="https://login.consultant.ru/link/?req=doc&amp;demo=1&amp;base=LAW&amp;n=410704&amp;date=21.10.2024&amp;dst=101966&amp;field=134" TargetMode="External"/><Relationship Id="rId36" Type="http://schemas.openxmlformats.org/officeDocument/2006/relationships/hyperlink" Target="https://login.consultant.ru/link/?req=doc&amp;demo=1&amp;base=LAW&amp;n=410704&amp;date=21.10.2024" TargetMode="External"/><Relationship Id="rId10" Type="http://schemas.openxmlformats.org/officeDocument/2006/relationships/hyperlink" Target="https://login.consultant.ru/link/?req=doc&amp;demo=1&amp;base=LAW&amp;n=410704&amp;date=21.10.2024&amp;dst=12184&amp;field=134" TargetMode="External"/><Relationship Id="rId19" Type="http://schemas.openxmlformats.org/officeDocument/2006/relationships/hyperlink" Target="https://login.consultant.ru/link/?req=doc&amp;demo=1&amp;base=LAW&amp;n=410704&amp;date=21.10.2024&amp;dst=12184&amp;field=134" TargetMode="External"/><Relationship Id="rId31" Type="http://schemas.openxmlformats.org/officeDocument/2006/relationships/hyperlink" Target="https://login.consultant.ru/link/?req=doc&amp;demo=1&amp;base=LAW&amp;n=410704&amp;date=21.10.2024&amp;dst=128&amp;field=134"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login.consultant.ru/link/?req=doc&amp;demo=1&amp;base=LAW&amp;n=410704&amp;date=21.10.2024&amp;dst=12184&amp;field=134" TargetMode="External"/><Relationship Id="rId14" Type="http://schemas.openxmlformats.org/officeDocument/2006/relationships/hyperlink" Target="https://login.consultant.ru/link/?req=doc&amp;demo=1&amp;base=LAW&amp;n=410704&amp;date=21.10.2024&amp;dst=269&amp;field=134" TargetMode="External"/><Relationship Id="rId22" Type="http://schemas.openxmlformats.org/officeDocument/2006/relationships/hyperlink" Target="https://login.consultant.ru/link/?req=doc&amp;demo=1&amp;base=LAW&amp;n=410704&amp;date=21.10.2024&amp;dst=101273&amp;field=134" TargetMode="External"/><Relationship Id="rId27" Type="http://schemas.openxmlformats.org/officeDocument/2006/relationships/hyperlink" Target="https://login.consultant.ru/link/?req=doc&amp;demo=1&amp;base=LAW&amp;n=410704&amp;date=21.10.2024&amp;dst=2924&amp;field=134" TargetMode="External"/><Relationship Id="rId30" Type="http://schemas.openxmlformats.org/officeDocument/2006/relationships/hyperlink" Target="https://login.consultant.ru/link/?req=doc&amp;demo=1&amp;base=LAW&amp;n=410704&amp;date=21.10.2024&amp;dst=6&amp;field=134" TargetMode="External"/><Relationship Id="rId35" Type="http://schemas.openxmlformats.org/officeDocument/2006/relationships/hyperlink" Target="https://login.consultant.ru/link/?req=doc&amp;demo=1&amp;base=LAW&amp;n=387619&amp;date=21.10.2024&amp;dst=44&amp;field=134"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8876</Characters>
  <Application>Microsoft Office Word</Application>
  <DocSecurity>2</DocSecurity>
  <Lines>73</Lines>
  <Paragraphs>20</Paragraphs>
  <ScaleCrop>false</ScaleCrop>
  <Company>КонсультантПлюс Версия 4023.00.50</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Хабаровского УФАС России от 06.02.2023 N 28Суть жалобы: Заключенный контракт не содержит обоснования начальной (максимальной) цены контракта.Решение: Жалоба признана необоснованной, так как приложение к контракту содержит спецификацию с расчетом ц</dc:title>
  <dc:subject/>
  <dc:creator>Dmitry Dobroshtan</dc:creator>
  <cp:keywords/>
  <dc:description/>
  <cp:lastModifiedBy>Dmitry Dobroshtan</cp:lastModifiedBy>
  <cp:revision>2</cp:revision>
  <dcterms:created xsi:type="dcterms:W3CDTF">2024-10-21T18:09:00Z</dcterms:created>
  <dcterms:modified xsi:type="dcterms:W3CDTF">2024-10-21T18:09:00Z</dcterms:modified>
</cp:coreProperties>
</file>