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</w:tblGrid>
      <w:tr w:rsidR="00796201" w14:paraId="2F5B1B9C" w14:textId="77777777">
        <w:trPr>
          <w:trHeight w:val="4195"/>
          <w:jc w:val="right"/>
        </w:trPr>
        <w:tc>
          <w:tcPr>
            <w:tcW w:w="4961" w:type="dxa"/>
          </w:tcPr>
          <w:p w14:paraId="7CB7B9AD" w14:textId="287C1016" w:rsidR="00796201" w:rsidRDefault="00552D6D">
            <w:pPr>
              <w:pStyle w:val="aa"/>
            </w:pPr>
            <w:fldSimple w:instr=" DOCVARIABLE KorrespondentOutgoing ">
              <w:r>
                <w:t>Государственное учреждение здравоохранения «Большенагаткинская районная больница»</w:t>
              </w:r>
              <w:r>
                <w:br/>
                <w:t>433610, Ульяновская обл. , Цильнинский р-н, с. Большое Нагаткино, Территория больницы, д. 11</w:t>
              </w:r>
              <w:r>
                <w:br/>
                <w:t>zakupki147@mail.ru</w:t>
              </w:r>
              <w:r>
                <w:br/>
              </w:r>
              <w:r>
                <w:br/>
                <w:t>Общество с ограниченной ответственностью "ОКТАНТ"</w:t>
              </w:r>
              <w:r>
                <w:br/>
                <w:t>443066, г. Самара, 2-й Безымянный пер., д. 1</w:t>
              </w:r>
              <w:r>
                <w:br/>
                <w:t xml:space="preserve"> oktant@oktantmed.ru</w:t>
              </w:r>
            </w:fldSimple>
            <w:r w:rsidR="00BC7F0E">
              <w:rPr>
                <w:noProof/>
              </w:rPr>
              <w:pict w14:anchorId="6910F6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2" o:spid="_x0000_s2052" type="#_x0000_t202" style="position:absolute;margin-left:89.1pt;margin-top:216.35pt;width:56.7pt;height:14.15pt;z-index:3;visibility:visible;mso-wrap-style:square;mso-wrap-distance-left:5.7pt;mso-wrap-distance-top:5.7pt;mso-wrap-distance-right:5.7pt;mso-wrap-distance-bottom:5.7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kvlQEAACcDAAAOAAAAZHJzL2Uyb0RvYy54bWysUttu2zAMfR/QfxD03sgpsGY14hTbihQD&#10;hm1Atw+QZSkWIIkCpcbO349SbsX2NswPMinSx+cccv04e8f2GpOF0PHlouFMBwWDDbuO//q5vf3A&#10;WcoyDNJB0B0/6MQfNzfv1lNs9R2M4AaNjEBCaqfY8THn2AqR1Ki9TAuIOlDRAHqZKcWdGFBOhO6d&#10;uGuaezEBDhFB6ZTo9ulY5JuKb4xW+bsxSWfmOk7ccj2xnn05xWYt2x3KOFp1oiH/gYWXNtBPL1BP&#10;Mkv2ivYvKG8VQgKTFwq8AGOs0lUDqVk2f6h5GWXUVQuZk+LFpvT/YNW3/Uv8gSzPn2CmARZDppja&#10;RJdFz2zQlzcxZVQnCw8X2/ScmaLLFQ3igSqKSsvVw6p5X1DE9eOIKT9r8KwEHUeaSjVL7r+mfGw9&#10;t5R/JXB22FrnaoK7/rNDtpc0wW19Tuhv2sSVcony3M8nHT0MB5LnvgQyrSzAOcBz0J8DGdQItBpH&#10;bgE+vmYwtvIroEck0lUSmkZVeNqcMu63ee267vfmNwAAAP//AwBQSwMEFAAGAAgAAAAhANAPJX7g&#10;AAAACwEAAA8AAABkcnMvZG93bnJldi54bWxMj8FOwzAMhu9IvENkJC6IpQ2o27qmE2xwG4eNaees&#10;CW1F41RJunZvjznB8bc//f5crCfbsYvxoXUoIZ0lwAxWTrdYSzh+vj8ugIWoUKvOoZFwNQHW5e1N&#10;oXLtRtybyyHWjEow5EpCE2Ofcx6qxlgVZq43SLsv562KFH3NtVcjlduOiyTJuFUt0oVG9WbTmOr7&#10;MFgJ2dYP4x43D9vj20599LU4vV5PUt7fTS8rYNFM8Q+GX31Sh5Kczm5AHVhHeb4QhEp4fhJzYESI&#10;ZZoBO9MkSxPgZcH//1D+AAAA//8DAFBLAQItABQABgAIAAAAIQC2gziS/gAAAOEBAAATAAAAAAAA&#10;AAAAAAAAAAAAAABbQ29udGVudF9UeXBlc10ueG1sUEsBAi0AFAAGAAgAAAAhADj9If/WAAAAlAEA&#10;AAsAAAAAAAAAAAAAAAAALwEAAF9yZWxzLy5yZWxzUEsBAi0AFAAGAAgAAAAhADpUKS+VAQAAJwMA&#10;AA4AAAAAAAAAAAAAAAAALgIAAGRycy9lMm9Eb2MueG1sUEsBAi0AFAAGAAgAAAAhANAPJX7gAAAA&#10;CwEAAA8AAAAAAAAAAAAAAAAA7wMAAGRycy9kb3ducmV2LnhtbFBLBQYAAAAABAAEAPMAAAD8BAAA&#10;AAA=&#10;" o:allowincell="f" stroked="f">
                  <v:textbox inset="0,0,0,0">
                    <w:txbxContent>
                      <w:p w14:paraId="521A63BF" w14:textId="77777777" w:rsidR="00796201" w:rsidRDefault="00796201">
                        <w:pPr>
                          <w:pStyle w:val="a7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C7F0E">
              <w:rPr>
                <w:noProof/>
              </w:rPr>
              <w:pict w14:anchorId="326DFCF2">
                <v:shape id="Врезка4" o:spid="_x0000_s2051" type="#_x0000_t202" style="position:absolute;margin-left:61.8pt;margin-top:261.75pt;width:196.2pt;height:51pt;z-index:4;visibility:visible;mso-wrap-style:square;mso-wrap-distance-left:5.7pt;mso-wrap-distance-top:5.7pt;mso-wrap-distance-right:5.7pt;mso-wrap-distance-bottom:5.7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17mwEAAC8DAAAOAAAAZHJzL2Uyb0RvYy54bWysUttu2zAMfR/QfxD03sgJgmYz4hTdihQF&#10;hm1Atw+QZSkWIIsCpcbO349Smgu6t6F+oEmROjo85Pp+Ghzba4wWfMPns4oz7RV01u8a/uf39vYz&#10;ZzFJ30kHXjf8oCO/39x8Wo+h1gvowXUaGYH4WI+h4X1KoRYiql4PMs4gaE9JAzjIRCHuRIdyJPTB&#10;iUVV3YkRsAsISsdIp4/HJN8UfGO0Sj+NiTox13DilorFYttsxWYt6x3K0Fv1RkP+B4tBWk+PnqEe&#10;ZZLsFe0/UINVCBFMmikYBBhjlS49UDfz6l03L70MuvRC4sRwlil+HKz6sX8Jv5Cl6StMNMAsyBhi&#10;Hekw9zMZHPKfmDLKk4SHs2x6SkzR4WL5Zb5aUkpR7m65WlVFV3G5HTCmJw0Dy07DkcZS1JL77zHR&#10;i1R6KsmPRXC221rnSoC79ptDtpc0wm35Mkm6clUmLpyzl6Z2Yra76qeF7kBtumdP4uVFODl4ctqT&#10;I73qgVbkSNHDw2sCYwvNjH1EIgI5oKkUKm8blMd+HZeqy55v/gIAAP//AwBQSwMEFAAGAAgAAAAh&#10;ABoWpMrfAAAACwEAAA8AAABkcnMvZG93bnJldi54bWxMj8FOwzAQRO9I/IO1SFwQderKEQpxKmjh&#10;BoeWqmc3NklEvI5sp0n/nuVEj6MdvX1TrmfXs7MNsfOoYLnIgFmsvemwUXD4en98AhaTRqN7j1bB&#10;xUZYV7c3pS6Mn3Bnz/vUMIJgLLSCNqWh4DzWrXU6LvxgkW7fPjidKIaGm6AngrueiyzLudMd0odW&#10;D3bT2vpnPzoF+TaM0w43D9vD24f+HBpxfL0clbq/m1+egSU7p/8y/OmTOlTkdPIjmsh6ymKVU1WB&#10;FCsJjBpymdO6E+GFlMCrkl9vqH4BAAD//wMAUEsBAi0AFAAGAAgAAAAhALaDOJL+AAAA4QEAABMA&#10;AAAAAAAAAAAAAAAAAAAAAFtDb250ZW50X1R5cGVzXS54bWxQSwECLQAUAAYACAAAACEAOP0h/9YA&#10;AACUAQAACwAAAAAAAAAAAAAAAAAvAQAAX3JlbHMvLnJlbHNQSwECLQAUAAYACAAAACEAscFte5sB&#10;AAAvAwAADgAAAAAAAAAAAAAAAAAuAgAAZHJzL2Uyb0RvYy54bWxQSwECLQAUAAYACAAAACEAGhak&#10;yt8AAAALAQAADwAAAAAAAAAAAAAAAAD1AwAAZHJzL2Rvd25yZXYueG1sUEsFBgAAAAAEAAQA8wAA&#10;AAEFAAAAAA==&#10;" o:allowincell="f" stroked="f">
                  <v:textbox inset="0,0,0,0">
                    <w:txbxContent>
                      <w:p w14:paraId="6E6A0412" w14:textId="77777777" w:rsidR="00796201" w:rsidRDefault="00552D6D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rPr>
                            <w:color w:val="000000"/>
                          </w:rPr>
                          <w:instrText xml:space="preserve"> DOCVARIABLE Annotation </w:instrText>
                        </w:r>
                        <w:r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t>Решение по делу № 073/06/106-118/2024</w:t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C7F0E">
              <w:rPr>
                <w:noProof/>
              </w:rPr>
              <w:pict w14:anchorId="2D27A8DC">
                <v:shape id="Врезка3" o:spid="_x0000_s2050" type="#_x0000_t202" style="position:absolute;margin-left:177.85pt;margin-top:216.55pt;width:72.25pt;height:14.15pt;z-index:5;visibility:visible;mso-wrap-style:square;mso-wrap-distance-left:5.7pt;mso-wrap-distance-top:5.7pt;mso-wrap-distance-right:5.7pt;mso-wrap-distance-bottom:5.7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msmgEAAC4DAAAOAAAAZHJzL2Uyb0RvYy54bWysUsGK2zAQvRf6D0L3Rk4gTdfEWbZdUgql&#10;LWz7AbIsxQJZI0ba2Pn7jpQ4Wba3sj7IM5rx83tvZns/DY4dNUYLvuHLRcWZ9go66w8N//N7/+ET&#10;ZzFJ30kHXjf8pCO/371/tx1DrVfQg+s0MgLxsR5Dw/uUQi1EVL0eZFxA0J6KBnCQiVI8iA7lSOiD&#10;E6uq+ihGwC4gKB0j3T6ei3xX8I3RKv00JurEXMOJWyonlrPNp9htZX1AGXqrLjTkf7AYpPX00yvU&#10;o0ySPaP9B2qwCiGCSQsFgwBjrNJFA6lZVq/UPPUy6KKFzInhalN8O1j14/gUfiFL02eYaIDZkDHE&#10;OtJl1jMZHPKbmDKqk4Wnq216SkzR5d1ys96sOVNUWm7uNtU6o4jbxwFj+qphYDloONJUilny+D2m&#10;c+vckv8Vwdlub50rCR7aLw7ZUdIE9+W5oL9oEzfKOUpTOzHbNXw1y2mhO5FK982Td3kP5gDnoJ0D&#10;6VUPtCFnih4enhMYW2hm7DMSycsJDaUIvSxQnvrLvHTd1nz3FwAA//8DAFBLAwQUAAYACAAAACEA&#10;Jc6M6OEAAAALAQAADwAAAGRycy9kb3ducmV2LnhtbEyPwU7DMAyG70i8Q2QkLoglbdcydU0n2OAG&#10;h41pZ68JbUXjVE26dm9POMHR9qff319sZtOxix5ca0lCtBDANFVWtVRLOH6+Pa6AOY+ksLOkJVy1&#10;g015e1NgruxEe305+JqFEHI5Smi873POXdVog25he03h9mUHgz6MQ83VgFMINx2Phci4wZbChwZ7&#10;vW109X0YjYRsN4zTnrYPu+PrO370dXx6uZ6kvL+bn9fAvJ79Hwy/+kEdyuB0tiMpxzoJSZo+BVTC&#10;MkkiYIFIhYiBncMmi5bAy4L/71D+AAAA//8DAFBLAQItABQABgAIAAAAIQC2gziS/gAAAOEBAAAT&#10;AAAAAAAAAAAAAAAAAAAAAABbQ29udGVudF9UeXBlc10ueG1sUEsBAi0AFAAGAAgAAAAhADj9If/W&#10;AAAAlAEAAAsAAAAAAAAAAAAAAAAALwEAAF9yZWxzLy5yZWxzUEsBAi0AFAAGAAgAAAAhANDeiaya&#10;AQAALgMAAA4AAAAAAAAAAAAAAAAALgIAAGRycy9lMm9Eb2MueG1sUEsBAi0AFAAGAAgAAAAhACXO&#10;jOjhAAAACwEAAA8AAAAAAAAAAAAAAAAA9AMAAGRycy9kb3ducmV2LnhtbFBLBQYAAAAABAAEAPMA&#10;AAACBQAAAAA=&#10;" o:allowincell="f" stroked="f">
                  <v:textbox inset="0,0,0,0">
                    <w:txbxContent>
                      <w:p w14:paraId="32EDC1A3" w14:textId="77777777" w:rsidR="00796201" w:rsidRDefault="00796201">
                        <w:pPr>
                          <w:pStyle w:val="a7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553EE997" w14:textId="77777777" w:rsidR="00796201" w:rsidRDefault="00796201">
      <w:pPr>
        <w:jc w:val="right"/>
      </w:pPr>
    </w:p>
    <w:p w14:paraId="69942F5A" w14:textId="77777777" w:rsidR="00796201" w:rsidRDefault="00796201"/>
    <w:p w14:paraId="74E9864E" w14:textId="77777777" w:rsidR="00796201" w:rsidRDefault="00796201"/>
    <w:p w14:paraId="3DD24CC8" w14:textId="77777777" w:rsidR="00796201" w:rsidRDefault="00796201"/>
    <w:p w14:paraId="47D8649B" w14:textId="77777777" w:rsidR="00796201" w:rsidRDefault="00796201">
      <w:pPr>
        <w:keepNext/>
        <w:jc w:val="center"/>
      </w:pPr>
    </w:p>
    <w:p w14:paraId="539860E1" w14:textId="77777777" w:rsidR="00796201" w:rsidRDefault="00552D6D">
      <w:pPr>
        <w:keepNext/>
        <w:jc w:val="center"/>
      </w:pPr>
      <w:r>
        <w:rPr>
          <w:b/>
        </w:rPr>
        <w:t>РЕШЕНИЕ</w:t>
      </w:r>
    </w:p>
    <w:p w14:paraId="17C97806" w14:textId="77777777" w:rsidR="00796201" w:rsidRDefault="00552D6D">
      <w:pPr>
        <w:keepNext/>
        <w:jc w:val="both"/>
      </w:pPr>
      <w:r>
        <w:t>01.03.2024                                                                                                  Дело № 073/06/106-118/2024</w:t>
      </w:r>
    </w:p>
    <w:p w14:paraId="270E4151" w14:textId="77777777" w:rsidR="00796201" w:rsidRDefault="00552D6D">
      <w:pPr>
        <w:keepNext/>
        <w:jc w:val="center"/>
      </w:pPr>
      <w:r>
        <w:t>г. Ульяновск</w:t>
      </w:r>
    </w:p>
    <w:p w14:paraId="68EC90AC" w14:textId="77777777" w:rsidR="00796201" w:rsidRDefault="00796201">
      <w:pPr>
        <w:keepNext/>
        <w:ind w:firstLine="709"/>
        <w:jc w:val="both"/>
      </w:pPr>
    </w:p>
    <w:p w14:paraId="567704ED" w14:textId="77777777" w:rsidR="00796201" w:rsidRDefault="00796201">
      <w:pPr>
        <w:keepNext/>
        <w:ind w:firstLine="709"/>
        <w:jc w:val="both"/>
      </w:pPr>
    </w:p>
    <w:p w14:paraId="2F04EE43" w14:textId="77777777" w:rsidR="00796201" w:rsidRDefault="00552D6D">
      <w:pPr>
        <w:keepNext/>
        <w:ind w:firstLine="709"/>
        <w:jc w:val="both"/>
      </w:pPr>
      <w:r>
        <w:t>Комиссия Управления Федеральной антимонопольной службы по Ульяновской области по контролю закупок в составе:</w:t>
      </w:r>
    </w:p>
    <w:p w14:paraId="6B3544F9" w14:textId="77777777" w:rsidR="00796201" w:rsidRDefault="00796201">
      <w:pPr>
        <w:keepNext/>
        <w:ind w:firstLine="709"/>
        <w:jc w:val="both"/>
      </w:pPr>
    </w:p>
    <w:tbl>
      <w:tblPr>
        <w:tblW w:w="10425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105"/>
        <w:gridCol w:w="7320"/>
      </w:tblGrid>
      <w:tr w:rsidR="00796201" w14:paraId="733C250F" w14:textId="77777777">
        <w:trPr>
          <w:trHeight w:val="226"/>
        </w:trPr>
        <w:tc>
          <w:tcPr>
            <w:tcW w:w="3105" w:type="dxa"/>
          </w:tcPr>
          <w:p w14:paraId="75A3ECFB" w14:textId="77777777" w:rsidR="00796201" w:rsidRDefault="00552D6D">
            <w:pPr>
              <w:spacing w:line="276" w:lineRule="auto"/>
            </w:pPr>
            <w:r>
              <w:rPr>
                <w:lang w:eastAsia="en-US"/>
              </w:rPr>
              <w:t>председателя комиссии</w:t>
            </w:r>
          </w:p>
        </w:tc>
        <w:tc>
          <w:tcPr>
            <w:tcW w:w="7320" w:type="dxa"/>
          </w:tcPr>
          <w:p w14:paraId="2CC74203" w14:textId="77777777" w:rsidR="00796201" w:rsidRDefault="00552D6D" w:rsidP="00552D6D">
            <w:pPr>
              <w:tabs>
                <w:tab w:val="left" w:pos="6980"/>
              </w:tabs>
              <w:spacing w:line="276" w:lineRule="auto"/>
              <w:ind w:left="567"/>
              <w:contextualSpacing/>
            </w:pPr>
            <w:r>
              <w:rPr>
                <w:lang w:eastAsia="en-US"/>
              </w:rPr>
              <w:t xml:space="preserve">- заместителя руководителя управления </w:t>
            </w:r>
            <w:r>
              <w:rPr>
                <w:lang w:val="en-US" w:eastAsia="en-US"/>
              </w:rPr>
              <w:t>&lt;…&gt;</w:t>
            </w:r>
            <w:r>
              <w:rPr>
                <w:lang w:eastAsia="en-US"/>
              </w:rPr>
              <w:t>,</w:t>
            </w:r>
          </w:p>
        </w:tc>
      </w:tr>
      <w:tr w:rsidR="00796201" w14:paraId="4FA695BE" w14:textId="77777777">
        <w:trPr>
          <w:trHeight w:val="2679"/>
        </w:trPr>
        <w:tc>
          <w:tcPr>
            <w:tcW w:w="3105" w:type="dxa"/>
          </w:tcPr>
          <w:p w14:paraId="6566A496" w14:textId="77777777" w:rsidR="00796201" w:rsidRDefault="00796201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14:paraId="2DC4FD50" w14:textId="77777777" w:rsidR="00796201" w:rsidRDefault="00552D6D">
            <w:pPr>
              <w:spacing w:line="276" w:lineRule="auto"/>
              <w:jc w:val="both"/>
            </w:pPr>
            <w:r>
              <w:rPr>
                <w:lang w:eastAsia="en-US"/>
              </w:rPr>
              <w:t>членов комиссии:</w:t>
            </w:r>
          </w:p>
          <w:p w14:paraId="7936B256" w14:textId="77777777" w:rsidR="00796201" w:rsidRDefault="00796201">
            <w:pPr>
              <w:spacing w:line="276" w:lineRule="auto"/>
              <w:ind w:firstLine="709"/>
              <w:rPr>
                <w:lang w:eastAsia="en-US"/>
              </w:rPr>
            </w:pPr>
          </w:p>
          <w:p w14:paraId="426489FF" w14:textId="77777777" w:rsidR="00796201" w:rsidRDefault="00796201">
            <w:pPr>
              <w:spacing w:line="276" w:lineRule="auto"/>
              <w:ind w:firstLine="709"/>
              <w:rPr>
                <w:lang w:eastAsia="en-US"/>
              </w:rPr>
            </w:pPr>
          </w:p>
          <w:p w14:paraId="260EE61D" w14:textId="77777777" w:rsidR="00796201" w:rsidRDefault="00552D6D">
            <w:pPr>
              <w:spacing w:line="276" w:lineRule="auto"/>
              <w:ind w:right="-391"/>
            </w:pPr>
            <w:r>
              <w:rPr>
                <w:lang w:eastAsia="en-US"/>
              </w:rPr>
              <w:t xml:space="preserve">в присутствии </w:t>
            </w:r>
          </w:p>
          <w:p w14:paraId="249E9E49" w14:textId="77777777" w:rsidR="00796201" w:rsidRDefault="00552D6D">
            <w:pPr>
              <w:spacing w:line="276" w:lineRule="auto"/>
              <w:ind w:right="-391"/>
            </w:pPr>
            <w:r>
              <w:rPr>
                <w:lang w:eastAsia="en-US"/>
              </w:rPr>
              <w:t xml:space="preserve">(с использованием </w:t>
            </w:r>
          </w:p>
          <w:p w14:paraId="742B0F63" w14:textId="77777777" w:rsidR="00796201" w:rsidRDefault="00552D6D">
            <w:pPr>
              <w:spacing w:line="276" w:lineRule="auto"/>
              <w:ind w:right="-391"/>
            </w:pPr>
            <w:r>
              <w:rPr>
                <w:lang w:eastAsia="en-US"/>
              </w:rPr>
              <w:t>системы видео-конференц-связи):</w:t>
            </w:r>
          </w:p>
          <w:p w14:paraId="32FA4400" w14:textId="77777777" w:rsidR="00796201" w:rsidRDefault="00796201">
            <w:pPr>
              <w:spacing w:line="276" w:lineRule="auto"/>
              <w:ind w:right="-391"/>
              <w:rPr>
                <w:lang w:eastAsia="en-US"/>
              </w:rPr>
            </w:pPr>
          </w:p>
        </w:tc>
        <w:tc>
          <w:tcPr>
            <w:tcW w:w="7320" w:type="dxa"/>
          </w:tcPr>
          <w:p w14:paraId="460F715E" w14:textId="77777777" w:rsidR="00796201" w:rsidRDefault="00796201">
            <w:pPr>
              <w:spacing w:line="276" w:lineRule="auto"/>
              <w:ind w:firstLine="709"/>
              <w:rPr>
                <w:lang w:eastAsia="en-US"/>
              </w:rPr>
            </w:pPr>
          </w:p>
          <w:p w14:paraId="597CF3EB" w14:textId="77777777" w:rsidR="00796201" w:rsidRDefault="00552D6D">
            <w:pPr>
              <w:spacing w:line="276" w:lineRule="auto"/>
              <w:ind w:left="567" w:right="181"/>
              <w:contextualSpacing/>
            </w:pPr>
            <w:r>
              <w:rPr>
                <w:lang w:eastAsia="en-US"/>
              </w:rPr>
              <w:t xml:space="preserve">- заместителя начальника отдела </w:t>
            </w:r>
            <w:r w:rsidRPr="00552D6D">
              <w:rPr>
                <w:lang w:eastAsia="en-US"/>
              </w:rPr>
              <w:t>&lt;…&gt;</w:t>
            </w:r>
            <w:r>
              <w:rPr>
                <w:lang w:eastAsia="en-US"/>
              </w:rPr>
              <w:t>,</w:t>
            </w:r>
          </w:p>
          <w:p w14:paraId="29A6773B" w14:textId="77777777" w:rsidR="00796201" w:rsidRDefault="00552D6D">
            <w:pPr>
              <w:spacing w:line="276" w:lineRule="auto"/>
              <w:ind w:left="567" w:right="181"/>
              <w:contextualSpacing/>
            </w:pPr>
            <w:r>
              <w:rPr>
                <w:lang w:eastAsia="en-US"/>
              </w:rPr>
              <w:t xml:space="preserve">- специалиста-эксперта </w:t>
            </w:r>
            <w:r w:rsidRPr="00552D6D">
              <w:rPr>
                <w:lang w:eastAsia="en-US"/>
              </w:rPr>
              <w:t>&lt;…&gt;</w:t>
            </w:r>
            <w:r>
              <w:rPr>
                <w:lang w:eastAsia="en-US"/>
              </w:rPr>
              <w:t>.,</w:t>
            </w:r>
          </w:p>
          <w:p w14:paraId="7238EBBF" w14:textId="77777777" w:rsidR="00796201" w:rsidRDefault="00796201">
            <w:pPr>
              <w:spacing w:line="276" w:lineRule="auto"/>
              <w:ind w:left="567" w:firstLine="709"/>
              <w:rPr>
                <w:lang w:eastAsia="en-US"/>
              </w:rPr>
            </w:pPr>
          </w:p>
          <w:p w14:paraId="0CB8EC03" w14:textId="77777777" w:rsidR="00796201" w:rsidRDefault="00552D6D">
            <w:pPr>
              <w:spacing w:line="276" w:lineRule="auto"/>
              <w:ind w:left="567"/>
              <w:contextualSpacing/>
            </w:pPr>
            <w:r>
              <w:rPr>
                <w:i/>
                <w:lang w:eastAsia="en-US"/>
              </w:rPr>
              <w:t>- от ГУЗ «Большенагаткинская районная больница»:</w:t>
            </w:r>
          </w:p>
          <w:p w14:paraId="2D42D8AD" w14:textId="77777777" w:rsidR="00796201" w:rsidRDefault="00552D6D">
            <w:pPr>
              <w:spacing w:line="276" w:lineRule="auto"/>
              <w:ind w:left="567"/>
              <w:contextualSpacing/>
            </w:pPr>
            <w:r>
              <w:rPr>
                <w:lang w:eastAsia="en-US"/>
              </w:rPr>
              <w:t xml:space="preserve">- </w:t>
            </w:r>
            <w:r w:rsidRPr="00BC7F0E">
              <w:rPr>
                <w:lang w:eastAsia="en-US"/>
              </w:rPr>
              <w:t>&lt;…&gt;</w:t>
            </w:r>
            <w:r>
              <w:rPr>
                <w:lang w:eastAsia="en-US"/>
              </w:rPr>
              <w:t xml:space="preserve"> (доверенность № 73-1195 от 20.03.2023),</w:t>
            </w:r>
          </w:p>
          <w:p w14:paraId="787F376A" w14:textId="77777777" w:rsidR="00796201" w:rsidRDefault="00552D6D">
            <w:pPr>
              <w:spacing w:line="276" w:lineRule="auto"/>
              <w:ind w:left="567"/>
              <w:contextualSpacing/>
            </w:pPr>
            <w:r>
              <w:rPr>
                <w:i/>
                <w:lang w:eastAsia="en-US"/>
              </w:rPr>
              <w:t>- от ООО «РИЯ ФАРМА»:</w:t>
            </w:r>
          </w:p>
          <w:p w14:paraId="437DE427" w14:textId="77777777" w:rsidR="00796201" w:rsidRDefault="00552D6D">
            <w:pPr>
              <w:spacing w:line="276" w:lineRule="auto"/>
              <w:ind w:left="567"/>
              <w:contextualSpacing/>
            </w:pPr>
            <w:r>
              <w:rPr>
                <w:lang w:eastAsia="en-US"/>
              </w:rPr>
              <w:t xml:space="preserve">- </w:t>
            </w:r>
            <w:r w:rsidRPr="00BC7F0E">
              <w:rPr>
                <w:lang w:eastAsia="en-US"/>
              </w:rPr>
              <w:t>&lt;…&gt;</w:t>
            </w:r>
            <w:r>
              <w:rPr>
                <w:lang w:eastAsia="en-US"/>
              </w:rPr>
              <w:t xml:space="preserve"> (доверенность № 1 от 27.02.2024),</w:t>
            </w:r>
          </w:p>
        </w:tc>
      </w:tr>
    </w:tbl>
    <w:p w14:paraId="44CB713D" w14:textId="77777777" w:rsidR="00796201" w:rsidRDefault="00552D6D">
      <w:pPr>
        <w:ind w:firstLine="709"/>
        <w:jc w:val="both"/>
        <w:sectPr w:rsidR="00796201">
          <w:footerReference w:type="default" r:id="rId6"/>
          <w:pgSz w:w="11906" w:h="16838"/>
          <w:pgMar w:top="1134" w:right="850" w:bottom="2082" w:left="1134" w:header="0" w:footer="1417" w:gutter="0"/>
          <w:cols w:space="720"/>
          <w:formProt w:val="0"/>
          <w:docGrid w:linePitch="312" w:charSpace="-6145"/>
        </w:sectPr>
      </w:pPr>
      <w:r>
        <w:t xml:space="preserve">рассмотрев дело № 073/06/106-118/2024 по жалобе ООО «ОКТАНТ» (далее - заявитель) на положения об осуществлении закупки товара у единственного поставщика на сумму, предусмотренную частью 12 статьи 93 Закона № 44-ФЗ, № 0368300045924000014 (наименование объекта закупки – «Система инфузионная микроструйная»; заказчик – Государственное учреждение здравоохранения «Большенагаткинская районная больница»; начальная (максимальная) цена контракта – 512 000,00 руб.) по признакам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i/>
        </w:rPr>
        <w:t>Закон о контрактной системе</w:t>
      </w:r>
      <w:r>
        <w:t>) в порядке, предусмотренном главой 6 Закона о контрактной системе,</w:t>
      </w:r>
    </w:p>
    <w:p w14:paraId="4BC41B7C" w14:textId="77777777" w:rsidR="00796201" w:rsidRDefault="00552D6D">
      <w:pPr>
        <w:jc w:val="center"/>
      </w:pPr>
      <w:r>
        <w:rPr>
          <w:b/>
        </w:rPr>
        <w:lastRenderedPageBreak/>
        <w:t>УСТАНОВИЛА:</w:t>
      </w:r>
    </w:p>
    <w:p w14:paraId="3D5F3438" w14:textId="77777777" w:rsidR="00796201" w:rsidRDefault="00796201">
      <w:pPr>
        <w:jc w:val="center"/>
      </w:pPr>
    </w:p>
    <w:p w14:paraId="08632FD3" w14:textId="77777777" w:rsidR="00796201" w:rsidRDefault="00552D6D">
      <w:pPr>
        <w:ind w:firstLine="720"/>
        <w:jc w:val="both"/>
      </w:pPr>
      <w:r>
        <w:t>Вх. № 1285-ЭП/24 от 26.02.2024 (дата размещения в ЕИС – 22.02.2024) в Ульяновское УФАС России поступила жалоба ООО «ОКТАНТ» на положения об осуществлении закупки товара у единственного поставщика № 0368300045924000014.</w:t>
      </w:r>
    </w:p>
    <w:p w14:paraId="602E5F35" w14:textId="77777777" w:rsidR="00796201" w:rsidRDefault="00552D6D">
      <w:pPr>
        <w:ind w:firstLine="720"/>
        <w:jc w:val="both"/>
      </w:pPr>
      <w:r>
        <w:t>Содержание жалобы составило указание, в том числе на следующее.</w:t>
      </w:r>
    </w:p>
    <w:p w14:paraId="6E075EE0" w14:textId="77777777" w:rsidR="00796201" w:rsidRDefault="00552D6D">
      <w:pPr>
        <w:ind w:firstLine="720"/>
        <w:jc w:val="both"/>
      </w:pPr>
      <w:r>
        <w:t>По мнению заявителя жалобы, указанное в извещении наименование объекта закупки и КТРУ не соответствуют закупаемому товару, характеристики которого указаны в проекте контракта, что не позволяет участнику сформировать свое предложение о поставке товара.</w:t>
      </w:r>
    </w:p>
    <w:p w14:paraId="2BCFA36C" w14:textId="77777777" w:rsidR="00796201" w:rsidRDefault="00796201">
      <w:pPr>
        <w:ind w:firstLine="720"/>
        <w:jc w:val="both"/>
        <w:rPr>
          <w:highlight w:val="yellow"/>
        </w:rPr>
      </w:pPr>
    </w:p>
    <w:p w14:paraId="57BD3D60" w14:textId="77777777" w:rsidR="00796201" w:rsidRDefault="00552D6D">
      <w:pPr>
        <w:tabs>
          <w:tab w:val="left" w:pos="-709"/>
        </w:tabs>
        <w:ind w:firstLine="720"/>
        <w:jc w:val="both"/>
        <w:outlineLvl w:val="1"/>
      </w:pPr>
      <w:r>
        <w:t>Вх. № 1389-ЭП/24 от 29.02.2024 в Ульяновское УФАС России от заказчика поступили возражения на жалобу, содержащие указание, в том числе на следующее.</w:t>
      </w:r>
    </w:p>
    <w:p w14:paraId="11E86F3C" w14:textId="77777777" w:rsidR="00796201" w:rsidRDefault="00552D6D">
      <w:pPr>
        <w:tabs>
          <w:tab w:val="left" w:pos="-709"/>
        </w:tabs>
        <w:ind w:firstLine="720"/>
        <w:jc w:val="both"/>
        <w:outlineLvl w:val="1"/>
      </w:pPr>
      <w:r>
        <w:t xml:space="preserve">При осуществлении закупки заказчиком предварительно был изучен реестр товаров, содержащихся в предварительных предложениях в личном кабинете АО «Сбербанк-АСТ». В реестре был найден необходимый для заказчика товар с требуемыми характеристиками. Ввиду отсутствия характеристик товара в выбранном КТРУ, заказчиком в соответствии с пунктом 5 Постановления Правительства РФ № 145 были указаны дополнительные характеристики закупаемого товара в проекте контракта. </w:t>
      </w:r>
    </w:p>
    <w:p w14:paraId="1CFFFEBB" w14:textId="77777777" w:rsidR="00796201" w:rsidRDefault="00796201">
      <w:pPr>
        <w:tabs>
          <w:tab w:val="left" w:pos="-709"/>
        </w:tabs>
        <w:ind w:firstLine="720"/>
        <w:jc w:val="both"/>
        <w:outlineLvl w:val="1"/>
        <w:rPr>
          <w:highlight w:val="yellow"/>
        </w:rPr>
      </w:pPr>
    </w:p>
    <w:p w14:paraId="23DC0CAC" w14:textId="77777777" w:rsidR="00796201" w:rsidRDefault="00552D6D">
      <w:pPr>
        <w:tabs>
          <w:tab w:val="left" w:pos="-709"/>
        </w:tabs>
        <w:ind w:firstLine="720"/>
        <w:jc w:val="both"/>
        <w:outlineLvl w:val="1"/>
      </w:pPr>
      <w:r>
        <w:t>На заседании Комиссии 29.02.2024, которое проходило в дистанционном режиме, представители заказчика и заинтересованного лица (ООО «РИЯ ФАРМА») с доводами жалобы не согласились, поддержали представленные заказчиком письменные возражения, представитель заявителя поддержал доводы жалобы, в рассмотрении жалобы объявлялся перерыв до 14 час. 45 мин. 01.03.2024 для документального анализа материалов дела.</w:t>
      </w:r>
    </w:p>
    <w:p w14:paraId="4BDEF9ED" w14:textId="77777777" w:rsidR="00796201" w:rsidRDefault="00796201">
      <w:pPr>
        <w:tabs>
          <w:tab w:val="left" w:pos="-709"/>
        </w:tabs>
        <w:ind w:firstLine="720"/>
        <w:jc w:val="both"/>
        <w:outlineLvl w:val="1"/>
        <w:rPr>
          <w:highlight w:val="yellow"/>
        </w:rPr>
      </w:pPr>
    </w:p>
    <w:p w14:paraId="4426D1F6" w14:textId="77777777" w:rsidR="00796201" w:rsidRDefault="00552D6D">
      <w:pPr>
        <w:tabs>
          <w:tab w:val="left" w:pos="993"/>
        </w:tabs>
        <w:ind w:firstLine="720"/>
        <w:jc w:val="both"/>
      </w:pPr>
      <w:r>
        <w:t xml:space="preserve">В ходе рассмотрения жалобы ООО «ОКТАНТ» Комиссией Ульяновского УФАС России </w:t>
      </w:r>
      <w:r>
        <w:rPr>
          <w:iCs/>
        </w:rPr>
        <w:t>было установлено следующее.</w:t>
      </w:r>
    </w:p>
    <w:p w14:paraId="2051B48B" w14:textId="77777777" w:rsidR="00796201" w:rsidRDefault="00552D6D">
      <w:pPr>
        <w:spacing w:before="120"/>
        <w:ind w:firstLine="720"/>
        <w:jc w:val="both"/>
      </w:pPr>
      <w:r>
        <w:t>В единой информационной системе (</w:t>
      </w:r>
      <w:hyperlink r:id="rId7">
        <w:r>
          <w:rPr>
            <w:lang w:eastAsia="ru-RU" w:bidi="ar-SA"/>
          </w:rPr>
          <w:t>www.zakupki.gov.ru</w:t>
        </w:r>
      </w:hyperlink>
      <w:r>
        <w:t>) 22.02.2024 было опубликовано извещение об осуществлении закупки товара у единственного поставщика на сумму, предусмотренную частью 12 статьи 93 Закона № 44-ФЗ, № 0368300045924000014, наименование объекта закупки – «Система инфузионная микроструйная» (начальная (максимальная) цена контракта – 512 000,00 руб.</w:t>
      </w:r>
      <w:r>
        <w:rPr>
          <w:shd w:val="clear" w:color="auto" w:fill="FFFFFF"/>
        </w:rPr>
        <w:t>).</w:t>
      </w:r>
    </w:p>
    <w:p w14:paraId="7987FABB" w14:textId="77777777" w:rsidR="00796201" w:rsidRDefault="00796201">
      <w:pPr>
        <w:tabs>
          <w:tab w:val="left" w:pos="993"/>
        </w:tabs>
        <w:ind w:firstLine="720"/>
        <w:jc w:val="both"/>
        <w:rPr>
          <w:iCs/>
        </w:rPr>
      </w:pPr>
    </w:p>
    <w:p w14:paraId="70AAC7A6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 xml:space="preserve">Рассмотрев представленные материалы, Комиссия приняла решение признать жалобу </w:t>
      </w:r>
      <w:r>
        <w:t>ООО «ОКТАНТ»</w:t>
      </w:r>
      <w:r>
        <w:rPr>
          <w:iCs/>
        </w:rPr>
        <w:t xml:space="preserve"> обоснованной</w:t>
      </w:r>
      <w:r>
        <w:t xml:space="preserve">.  </w:t>
      </w:r>
      <w:r>
        <w:rPr>
          <w:iCs/>
        </w:rPr>
        <w:t>При этом Комиссия исходила из следующего.</w:t>
      </w:r>
    </w:p>
    <w:p w14:paraId="62BA24E9" w14:textId="77777777" w:rsidR="00796201" w:rsidRDefault="00796201">
      <w:pPr>
        <w:tabs>
          <w:tab w:val="left" w:pos="993"/>
        </w:tabs>
        <w:ind w:firstLine="720"/>
        <w:jc w:val="both"/>
        <w:rPr>
          <w:iCs/>
        </w:rPr>
      </w:pPr>
    </w:p>
    <w:p w14:paraId="1A26F75B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>Согласно части 1 статьи 24 Закона о контрактной системе заказчики при осуществлении закупок применяют конкурентные способы определения поставщиков (подрядчиков, исполнителей) (далее - конкурентные способы) или осуществляют закупки у единственного поставщика (подрядчика, исполнителя). Конкурентные способы могут быть открытыми и закрытыми.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закупки.</w:t>
      </w:r>
    </w:p>
    <w:p w14:paraId="63EC296F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>Для целей Закона о контрактной системе, электронный конкурс, электронный аукцион, электронный запрос котировок, закупка товара у единственного поставщика на сумму, предусмотренную частью 12 статьи 93 Закона о контрактной системе, считаются также электронными процедурами, а закрытый электронный конкурс, закрытый электронный аукцион - закрытыми электронными процедурами (часть 3 статьи 24 Закона о контрактной системе).</w:t>
      </w:r>
    </w:p>
    <w:p w14:paraId="75FE7D2F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 xml:space="preserve">В соответствии с частью 12 статьи 93 Закона о контрактной системе в случаях, предусмотренных пунктами 4 - 5.2 части 1 статьи 93 Закона о контрактной системе, закупка товара на сумму, не превышающую пяти миллионов рублей, может осуществляться в </w:t>
      </w:r>
      <w:r>
        <w:rPr>
          <w:iCs/>
        </w:rPr>
        <w:lastRenderedPageBreak/>
        <w:t>электронной форме с использованием электронной площадки. Годовой объем закупок, осуществляемых в таком порядке, не должен превышать сто миллионов рублей.</w:t>
      </w:r>
    </w:p>
    <w:p w14:paraId="3F156990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 xml:space="preserve">Согласно подпункту «в» пункта 3 части 12 статьи 93 Закона о контрактной системе заказчик формирует с использованием единой информационной системы, подписывает усиленной электронной подписью и размещает в единой информационной системе извещение об осуществлении закупки, содержащее </w:t>
      </w:r>
      <w:r>
        <w:rPr>
          <w:b/>
          <w:iCs/>
        </w:rPr>
        <w:t xml:space="preserve">наименование товара и его </w:t>
      </w:r>
      <w:r>
        <w:rPr>
          <w:b/>
          <w:iCs/>
          <w:u w:val="single"/>
        </w:rPr>
        <w:t>характеристики с использованием каталога товаров, работ, услуг для обеспечения государственных и муниципальных нужд</w:t>
      </w:r>
      <w:r>
        <w:rPr>
          <w:iCs/>
        </w:rPr>
        <w:t>, начальную цену единицы товара с учетом стоимости доставки, налогов, сборов и иных обязательных платежей, количество закупаемого товара, единицу измерения товара по общероссийскому классификатору, используемому для количественной оценки технико-экономических и социальных показателей, срок и место поставки товара по общероссийскому (общероссийским) классификатору (классификаторам), используемому (используемым) для сопоставимости и автоматизированной обработки информации в разрезах административно-территориального деления, систематизации и однозначной идентификации на всей территории Российской Федерации муниципальных образований и населенных пунктов, входящих в их состав.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днях.</w:t>
      </w:r>
    </w:p>
    <w:p w14:paraId="337F8BF6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>Закупка товара в соответствии с частью 12 статьи 93 Закона о контрактной системе осуществляется в следующем порядке: в целях участия в проводимых на электронной площадке закупках, предусмотренных настоящей частью, участники закупки вправе сформировать на электронной площадке, подписать усиленной электронной подписью и разместить на такой электронной площадке предварительное предложение о поставке товаров (далее - предварительное предложение), содержащее в отношении каждого товара, предлагаемого таким участником закупки к поставкам: а) наименование товара и его характеристики с использованием каталога товаров, работ, услуг для обеспечения государственных и муниципальных нужд  (подпункт «а» пункта 1 части 12 статьи 93 Закона о контрактной системе).</w:t>
      </w:r>
    </w:p>
    <w:p w14:paraId="3F291D41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>В соответствии с пунктом 4 части 12 статьи 93 Закона о контрактной системе извещение об осуществлении закупки, предусмотренное пунктом 3 настоящей части, должно содержать проект контракта, а также обоснование цены контракта у единственного поставщика.</w:t>
      </w:r>
    </w:p>
    <w:p w14:paraId="27542BFE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 xml:space="preserve">При замещении извещения № </w:t>
      </w:r>
      <w:r>
        <w:t xml:space="preserve">0368300045924000014 </w:t>
      </w:r>
      <w:r>
        <w:rPr>
          <w:iCs/>
        </w:rPr>
        <w:t>заказчиком указан код КТРУ «26.60.13.190-00000104 - Система инфузионная микроструйная», для которого характеристики товара в разделе «Описание товара, работы, услуги» полностью отсутствуют.</w:t>
      </w:r>
    </w:p>
    <w:p w14:paraId="63287FE5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 xml:space="preserve">Заказчиком в ЕИС к извещению о проведении спорной закупки в соответствии с пунктом 4 части 12 статьи 93 Закона о контрактной системе размещен проект контракта, содержащий в приложении № 1 функциональные характеристик товара, которые не включены в КТРУ «26.60.13.190-00000104 - Система инфузионная микроструйная» и не соответствуют описанию данного медицинского изделия, являющегося комплектом изделий с электроприводом, используемых для проведение контролируемых инфузий лекарственных средств и жидкостей (состоит из специального микроструйного инфузионного катетера с ультразвуковым датчиком и термодатчиком, изделиями для подачи жидкости, устройством, которое вырабатывает и контролирует энергию, поставляемую в катетер для регулирования инфузии), и пригодного для многоразового использования после замены одноразовых изделий, тогда как, согласно спецификации и поступившему предложению, заказчику необходимы устройства инфузионные однократного применения (код ОКПД2 32.50.50.190). </w:t>
      </w:r>
    </w:p>
    <w:p w14:paraId="23BF5F1E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>В соответствии с позицией, отраженной в письме Министерства финансов Российской Федерации от 10.08.2023 года № 24-03-06/75075, если описание объекта закупки, содержащее характеристики товара, не сформировано и не включено в позицию каталога, возможность реализации положений подпункта «в» пункта 3 части 12 статьи 93 Закона о контрактной системе отсутствует, поскольку в этом случае указать в извещении об осуществлении закупки характеристики закупаемого товара с использованием каталога невозможно.</w:t>
      </w:r>
    </w:p>
    <w:p w14:paraId="7FB0BD17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lastRenderedPageBreak/>
        <w:t>Положения пункта 3 части 12 статьи 93 Закона о контрактной системе не предусматривают возможности установление требований к характеристикам товара, которые отсутствуют в каталоге товаров, товаров, услуг для обеспечения государственных и муниципальных нужд.</w:t>
      </w:r>
    </w:p>
    <w:p w14:paraId="3A53083A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  <w:u w:val="single"/>
        </w:rPr>
        <w:t>В этой связи закупка товара у единственного поставщика в электронной форме на сумму, предусмотренную частью 12 статьи 93 Закона о контрактной системе, осуществляется при наличии в каталоге позиции, содержащей описание объекта закупки, включающее характеристики товара.</w:t>
      </w:r>
    </w:p>
    <w:p w14:paraId="1E6F7010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>Таким образом, формирование извещения об осуществлении закупки на основании части 12 статьи 93 закона о контрактной системе, с использованием КТРУ, которое не содержит описание товара, нарушает требования подпункта «в» пункта 3 части 12 статьи 93 Закона о контрактной системе, что содержит признаки административного правонарушения, предусмотренного частью 1.4 статьи 7.30 КоАП РФ.</w:t>
      </w:r>
    </w:p>
    <w:p w14:paraId="342AEB3B" w14:textId="77777777" w:rsidR="00796201" w:rsidRDefault="00552D6D">
      <w:pPr>
        <w:tabs>
          <w:tab w:val="left" w:pos="993"/>
        </w:tabs>
        <w:ind w:firstLine="720"/>
        <w:jc w:val="both"/>
      </w:pPr>
      <w:r>
        <w:rPr>
          <w:iCs/>
        </w:rPr>
        <w:t xml:space="preserve">Исходя из изложенного жалоба ООО «ОКТАНТ» является обоснованной. </w:t>
      </w:r>
    </w:p>
    <w:p w14:paraId="6D8F12F8" w14:textId="77777777" w:rsidR="00796201" w:rsidRDefault="00796201">
      <w:pPr>
        <w:tabs>
          <w:tab w:val="left" w:pos="993"/>
        </w:tabs>
        <w:ind w:firstLine="720"/>
        <w:jc w:val="both"/>
      </w:pPr>
    </w:p>
    <w:p w14:paraId="24D79A73" w14:textId="77777777" w:rsidR="00796201" w:rsidRDefault="00552D6D">
      <w:pPr>
        <w:tabs>
          <w:tab w:val="left" w:pos="993"/>
        </w:tabs>
        <w:ind w:firstLine="720"/>
        <w:jc w:val="both"/>
      </w:pPr>
      <w:r>
        <w:t>Учитывая изложенное, Комиссия, руководствуясь частью 1 статьи 2, пунктом 1 части 15, пункта 2 части 22 статьи 99, частью 8 статьи 106 Закона о контрактной системе,</w:t>
      </w:r>
    </w:p>
    <w:p w14:paraId="7E4CE60C" w14:textId="77777777" w:rsidR="00796201" w:rsidRDefault="00796201">
      <w:pPr>
        <w:jc w:val="center"/>
      </w:pPr>
    </w:p>
    <w:p w14:paraId="67224402" w14:textId="77777777" w:rsidR="00796201" w:rsidRDefault="00552D6D">
      <w:pPr>
        <w:jc w:val="center"/>
      </w:pPr>
      <w:r>
        <w:rPr>
          <w:b/>
        </w:rPr>
        <w:t>РЕШИЛА</w:t>
      </w:r>
      <w:r>
        <w:t>:</w:t>
      </w:r>
    </w:p>
    <w:p w14:paraId="2897DF10" w14:textId="77777777" w:rsidR="00796201" w:rsidRDefault="00796201">
      <w:pPr>
        <w:tabs>
          <w:tab w:val="left" w:pos="1695"/>
        </w:tabs>
        <w:jc w:val="center"/>
      </w:pPr>
    </w:p>
    <w:p w14:paraId="65553696" w14:textId="77777777" w:rsidR="00796201" w:rsidRDefault="00552D6D">
      <w:pPr>
        <w:tabs>
          <w:tab w:val="left" w:pos="0"/>
          <w:tab w:val="left" w:pos="993"/>
        </w:tabs>
        <w:ind w:firstLine="720"/>
        <w:jc w:val="both"/>
      </w:pPr>
      <w:r>
        <w:t>1. Признать жалобу ООО «ОКТАНТ» обоснованной.</w:t>
      </w:r>
    </w:p>
    <w:p w14:paraId="111C072A" w14:textId="77777777" w:rsidR="00796201" w:rsidRDefault="00552D6D">
      <w:pPr>
        <w:tabs>
          <w:tab w:val="left" w:pos="0"/>
          <w:tab w:val="left" w:pos="993"/>
        </w:tabs>
        <w:ind w:firstLine="720"/>
        <w:jc w:val="both"/>
      </w:pPr>
      <w:r>
        <w:t xml:space="preserve">2. Признать в действиях заказчика нарушение подпункта «в» </w:t>
      </w:r>
      <w:r>
        <w:rPr>
          <w:iCs/>
        </w:rPr>
        <w:t xml:space="preserve">пункта 3 части 12 статьи 93 </w:t>
      </w:r>
      <w:r>
        <w:t>Закона о контрактной системе.</w:t>
      </w:r>
    </w:p>
    <w:p w14:paraId="7B4B9498" w14:textId="77777777" w:rsidR="00796201" w:rsidRDefault="00552D6D">
      <w:pPr>
        <w:tabs>
          <w:tab w:val="left" w:pos="0"/>
          <w:tab w:val="left" w:pos="993"/>
        </w:tabs>
        <w:ind w:firstLine="720"/>
        <w:jc w:val="both"/>
      </w:pPr>
      <w:r>
        <w:t>3. Обязать заказчика устранить допущенное нарушение путем отмены процедуры определения поставщика № 0368300045924000014, на что выдать предписание.</w:t>
      </w:r>
    </w:p>
    <w:p w14:paraId="1D909038" w14:textId="77777777" w:rsidR="00796201" w:rsidRDefault="00552D6D">
      <w:pPr>
        <w:tabs>
          <w:tab w:val="left" w:pos="0"/>
          <w:tab w:val="left" w:pos="993"/>
        </w:tabs>
        <w:ind w:firstLine="720"/>
        <w:jc w:val="both"/>
      </w:pPr>
      <w:r>
        <w:t>4. Передать материалы дела № 073/06/106-118/2024 уполномоченному должностному лицу Ульяновского УФАС России для рассмотрения вопроса о возбуждении дела об административном правонарушении.</w:t>
      </w:r>
    </w:p>
    <w:p w14:paraId="4DF977B4" w14:textId="77777777" w:rsidR="00796201" w:rsidRDefault="00796201">
      <w:pPr>
        <w:tabs>
          <w:tab w:val="left" w:pos="0"/>
          <w:tab w:val="left" w:pos="993"/>
        </w:tabs>
        <w:ind w:firstLine="720"/>
        <w:jc w:val="both"/>
      </w:pPr>
    </w:p>
    <w:p w14:paraId="7672198A" w14:textId="77777777" w:rsidR="00796201" w:rsidRDefault="00796201">
      <w:pPr>
        <w:tabs>
          <w:tab w:val="left" w:pos="0"/>
          <w:tab w:val="left" w:pos="993"/>
        </w:tabs>
        <w:ind w:firstLine="720"/>
        <w:jc w:val="both"/>
      </w:pPr>
    </w:p>
    <w:tbl>
      <w:tblPr>
        <w:tblW w:w="10138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7621"/>
        <w:gridCol w:w="2517"/>
      </w:tblGrid>
      <w:tr w:rsidR="00796201" w14:paraId="322CC93E" w14:textId="77777777">
        <w:tc>
          <w:tcPr>
            <w:tcW w:w="7620" w:type="dxa"/>
          </w:tcPr>
          <w:p w14:paraId="124ACB95" w14:textId="77777777" w:rsidR="00796201" w:rsidRDefault="00552D6D">
            <w:pPr>
              <w:tabs>
                <w:tab w:val="left" w:pos="0"/>
                <w:tab w:val="left" w:pos="993"/>
              </w:tabs>
              <w:ind w:firstLine="720"/>
              <w:jc w:val="both"/>
            </w:pPr>
            <w:r>
              <w:t>Председатель комиссии:</w:t>
            </w:r>
          </w:p>
        </w:tc>
        <w:tc>
          <w:tcPr>
            <w:tcW w:w="2517" w:type="dxa"/>
          </w:tcPr>
          <w:p w14:paraId="5A70BDC3" w14:textId="77777777" w:rsidR="00796201" w:rsidRDefault="00552D6D">
            <w:pPr>
              <w:tabs>
                <w:tab w:val="left" w:pos="0"/>
                <w:tab w:val="left" w:pos="993"/>
              </w:tabs>
              <w:jc w:val="both"/>
            </w:pPr>
            <w:r>
              <w:rPr>
                <w:lang w:val="en-US" w:eastAsia="en-US"/>
              </w:rPr>
              <w:t>&lt;…&gt;</w:t>
            </w:r>
          </w:p>
        </w:tc>
      </w:tr>
      <w:tr w:rsidR="00796201" w14:paraId="766A0A6D" w14:textId="77777777">
        <w:trPr>
          <w:trHeight w:val="1285"/>
        </w:trPr>
        <w:tc>
          <w:tcPr>
            <w:tcW w:w="7620" w:type="dxa"/>
          </w:tcPr>
          <w:p w14:paraId="7B311C79" w14:textId="77777777" w:rsidR="00796201" w:rsidRDefault="00796201">
            <w:pPr>
              <w:tabs>
                <w:tab w:val="left" w:pos="0"/>
                <w:tab w:val="left" w:pos="993"/>
              </w:tabs>
              <w:ind w:firstLine="720"/>
              <w:jc w:val="both"/>
            </w:pPr>
          </w:p>
          <w:p w14:paraId="261E3CB4" w14:textId="77777777" w:rsidR="00796201" w:rsidRDefault="00552D6D">
            <w:pPr>
              <w:tabs>
                <w:tab w:val="left" w:pos="0"/>
                <w:tab w:val="left" w:pos="993"/>
              </w:tabs>
              <w:ind w:firstLine="720"/>
              <w:jc w:val="both"/>
            </w:pPr>
            <w:r>
              <w:t>Члены комиссии:</w:t>
            </w:r>
          </w:p>
        </w:tc>
        <w:tc>
          <w:tcPr>
            <w:tcW w:w="2517" w:type="dxa"/>
          </w:tcPr>
          <w:p w14:paraId="710B8AD9" w14:textId="77777777" w:rsidR="00796201" w:rsidRDefault="00796201">
            <w:pPr>
              <w:tabs>
                <w:tab w:val="left" w:pos="0"/>
                <w:tab w:val="left" w:pos="993"/>
              </w:tabs>
              <w:ind w:firstLine="720"/>
              <w:jc w:val="both"/>
            </w:pPr>
          </w:p>
          <w:p w14:paraId="62DA8F48" w14:textId="77777777" w:rsidR="00796201" w:rsidRDefault="00552D6D">
            <w:pPr>
              <w:tabs>
                <w:tab w:val="left" w:pos="0"/>
                <w:tab w:val="left" w:pos="993"/>
              </w:tabs>
              <w:ind w:firstLine="720"/>
              <w:jc w:val="both"/>
            </w:pPr>
            <w:r>
              <w:rPr>
                <w:lang w:val="en-US" w:eastAsia="en-US"/>
              </w:rPr>
              <w:t>&lt;…&gt;</w:t>
            </w:r>
          </w:p>
          <w:p w14:paraId="75B79F16" w14:textId="77777777" w:rsidR="00796201" w:rsidRDefault="00552D6D">
            <w:pPr>
              <w:tabs>
                <w:tab w:val="left" w:pos="0"/>
                <w:tab w:val="left" w:pos="993"/>
              </w:tabs>
              <w:ind w:firstLine="720"/>
              <w:jc w:val="both"/>
            </w:pPr>
            <w:r>
              <w:rPr>
                <w:lang w:val="en-US" w:eastAsia="en-US"/>
              </w:rPr>
              <w:t>&lt;…&gt;</w:t>
            </w:r>
          </w:p>
          <w:p w14:paraId="205EF858" w14:textId="77777777" w:rsidR="00796201" w:rsidRDefault="00796201">
            <w:pPr>
              <w:tabs>
                <w:tab w:val="left" w:pos="0"/>
                <w:tab w:val="left" w:pos="993"/>
              </w:tabs>
              <w:ind w:firstLine="720"/>
              <w:jc w:val="both"/>
            </w:pPr>
          </w:p>
        </w:tc>
      </w:tr>
    </w:tbl>
    <w:p w14:paraId="5D1EFC38" w14:textId="77777777" w:rsidR="00796201" w:rsidRDefault="00552D6D">
      <w:pPr>
        <w:tabs>
          <w:tab w:val="left" w:pos="0"/>
          <w:tab w:val="left" w:pos="993"/>
        </w:tabs>
        <w:ind w:firstLine="709"/>
        <w:jc w:val="both"/>
      </w:pPr>
      <w:r>
        <w:t>Решение может быть обжаловано в судебном порядке в течение трех месяцев со дня его принятия.</w:t>
      </w:r>
    </w:p>
    <w:p w14:paraId="08BEDDAB" w14:textId="77777777" w:rsidR="00796201" w:rsidRDefault="00796201">
      <w:pPr>
        <w:tabs>
          <w:tab w:val="left" w:pos="0"/>
          <w:tab w:val="left" w:pos="993"/>
        </w:tabs>
        <w:ind w:firstLine="709"/>
        <w:jc w:val="both"/>
      </w:pPr>
    </w:p>
    <w:p w14:paraId="1D4A9D20" w14:textId="77777777" w:rsidR="00796201" w:rsidRDefault="00552D6D">
      <w:pPr>
        <w:tabs>
          <w:tab w:val="left" w:pos="0"/>
          <w:tab w:val="left" w:pos="993"/>
        </w:tabs>
        <w:ind w:firstLine="709"/>
        <w:jc w:val="both"/>
      </w:pPr>
      <w:r>
        <w:t>Примечание: За невыполнение в установленный срок законного предписания антимонопольного органа частью 7 статьи 19.5. Кодекса Российской Федерации об административных правонарушениях установлена административная ответственность. 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14:paraId="527A8A59" w14:textId="77777777" w:rsidR="00796201" w:rsidRDefault="00796201"/>
    <w:p w14:paraId="421A5B3D" w14:textId="77777777" w:rsidR="00796201" w:rsidRDefault="00796201">
      <w:pPr>
        <w:jc w:val="center"/>
      </w:pPr>
    </w:p>
    <w:sectPr w:rsidR="00796201">
      <w:footerReference w:type="default" r:id="rId8"/>
      <w:pgSz w:w="11906" w:h="16838"/>
      <w:pgMar w:top="1134" w:right="850" w:bottom="1243" w:left="1134" w:header="0" w:footer="85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BD43" w14:textId="77777777" w:rsidR="00660A22" w:rsidRDefault="00660A22">
      <w:r>
        <w:separator/>
      </w:r>
    </w:p>
  </w:endnote>
  <w:endnote w:type="continuationSeparator" w:id="0">
    <w:p w14:paraId="58BE254B" w14:textId="77777777" w:rsidR="00660A22" w:rsidRDefault="0066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55F" w14:textId="77777777" w:rsidR="00796201" w:rsidRDefault="00552D6D">
    <w:pPr>
      <w:pStyle w:val="a9"/>
      <w:jc w:val="right"/>
    </w:pPr>
    <w:r>
      <w:rPr>
        <w:noProof/>
        <w:lang w:eastAsia="ru-RU" w:bidi="ar-SA"/>
      </w:rPr>
      <w:drawing>
        <wp:anchor distT="0" distB="0" distL="0" distR="0" simplePos="0" relativeHeight="10" behindDoc="0" locked="0" layoutInCell="0" allowOverlap="1" wp14:anchorId="07B513B2" wp14:editId="48C1553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511935" cy="288290"/>
          <wp:effectExtent l="0" t="0" r="0" b="0"/>
          <wp:wrapTopAndBottom/>
          <wp:docPr id="5" name="Spd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dBar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535" r="22535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982004" w14:textId="37AB8201" w:rsidR="00796201" w:rsidRDefault="00BC7F0E">
    <w:pPr>
      <w:pStyle w:val="a9"/>
      <w:jc w:val="right"/>
    </w:pPr>
    <w:r>
      <w:rPr>
        <w:noProof/>
      </w:rPr>
      <w:pict w14:anchorId="248B28A1">
        <v:shapetype id="_x0000_t202" coordsize="21600,21600" o:spt="202" path="m,l,21600r21600,l21600,xe">
          <v:stroke joinstyle="miter"/>
          <v:path gradientshapeok="t" o:connecttype="rect"/>
        </v:shapetype>
        <v:shape id="ProjectNumber" o:spid="_x0000_s1026" type="#_x0000_t202" style="position:absolute;left:0;text-align:left;margin-left:0;margin-top:15.6pt;width:119.05pt;height:17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fmmAEAACgDAAAOAAAAZHJzL2Uyb0RvYy54bWysUttu2zAMfR+wfxD0vshOkWE14hRbixQF&#10;hm1A1w+QZSkWIIsCpcbO349SbsX2NtQPMilSh4eHXN/No2N7jdGCb3m9qDjTXkFv/a7lL7+3n75w&#10;FpP0vXTgdcsPOvK7zccP6yk0egkDuF4jIxAfmym0fEgpNEJENehRxgUE7SloAEeZyMWd6FFOhD46&#10;sayqz2IC7AOC0jHS7cMxyDcF3xit0k9jok7MtZy4pXJiObt8is1aNjuUYbDqREP+B4tRWk9FL1AP&#10;Mkn2ivYfqNEqhAgmLRSMAoyxSpceqJu6+qub50EGXXohcWK4yBTfD1b92D+HX8jS/A1mGmAWZAqx&#10;iXSZ+5kNjvlPTBnFScLDRTY9J6byo1Vd396sOFMUW9ar26roKq6vA8b0qGFk2Wg50liKWnL/PSaq&#10;SKnnlFwsgrP91jpXHNx19w7ZXtIIt+XLJOnJmzRx5ZytNHfzqZEO+gP15548qZY34Gzg2ejOhvRq&#10;ANqNIzcPX18TGFv4ZdAjElXODo2jcDitTp73W79kXRd88wcAAP//AwBQSwMEFAAGAAgAAAAhADe3&#10;VCzcAAAABgEAAA8AAABkcnMvZG93bnJldi54bWxMj8FOwzAQRO9I/IO1SFwQdeKKqgpxKmjhBoeW&#10;qmc3XpKIeB3FTpP+PdtTe1zN6M3bfDW5VpywD40nDeksAYFUettQpWH/8/m8BBGiIWtaT6jhjAFW&#10;xf1dbjLrR9riaRcrwRAKmdFQx9hlUoayRmfCzHdInP363pnIZ19J25uR4a6VKkkW0pmGeKE2Ha5r&#10;LP92g9Ow2PTDuKX102b/8WW+u0od3s8HrR8fprdXEBGneC3DRZ/VoWCnox/IBtFq4EeihnmqQHCq&#10;5ssUxJHRLwpkkctb/eIfAAD//wMAUEsBAi0AFAAGAAgAAAAhALaDOJL+AAAA4QEAABMAAAAAAAAA&#10;AAAAAAAAAAAAAFtDb250ZW50X1R5cGVzXS54bWxQSwECLQAUAAYACAAAACEAOP0h/9YAAACUAQAA&#10;CwAAAAAAAAAAAAAAAAAvAQAAX3JlbHMvLnJlbHNQSwECLQAUAAYACAAAACEARu0n5pgBAAAoAwAA&#10;DgAAAAAAAAAAAAAAAAAuAgAAZHJzL2Uyb0RvYy54bWxQSwECLQAUAAYACAAAACEAN7dULNwAAAAG&#10;AQAADwAAAAAAAAAAAAAAAADyAwAAZHJzL2Rvd25yZXYueG1sUEsFBgAAAAAEAAQA8wAAAPsEAAAA&#10;AA==&#10;" o:allowincell="f" stroked="f">
          <v:textbox inset="0,0,0,0">
            <w:txbxContent>
              <w:p w14:paraId="1DEE434F" w14:textId="77777777" w:rsidR="00796201" w:rsidRDefault="00552D6D">
                <w:pPr>
                  <w:pStyle w:val="a7"/>
                </w:pPr>
                <w:fldSimple w:instr=" DOCVARIABLE ProjectNumber ">
                  <w:r>
                    <w:t>2024-1276</w:t>
                  </w:r>
                </w:fldSimple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F2F1" w14:textId="69F07406" w:rsidR="00796201" w:rsidRDefault="00552D6D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 w:rsidR="00BC7F0E">
      <w:rPr>
        <w:noProof/>
      </w:rPr>
      <w:pict w14:anchorId="585B7C1C">
        <v:shapetype id="_x0000_t202" coordsize="21600,21600" o:spt="202" path="m,l,21600r21600,l21600,xe">
          <v:stroke joinstyle="miter"/>
          <v:path gradientshapeok="t" o:connecttype="rect"/>
        </v:shapetype>
        <v:shape id="SpdTextFrame" o:spid="_x0000_s1025" type="#_x0000_t202" style="position:absolute;left:0;text-align:left;margin-left:0;margin-top:.05pt;width:136.05pt;height:1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0WmwEAAC8DAAAOAAAAZHJzL2Uyb0RvYy54bWysUttu2zAMfR+wfxD0vsjJ0LUz4hTbigwD&#10;hm1A1w+QZSkWIIkCpcbO349Smgu2t6F+kEmRPDo85Pp+9o7tNSYLoePLRcOZDgoGG3Ydf/q9fXfH&#10;WcoyDNJB0B0/6MTvN2/frKfY6hWM4AaNjEBCaqfY8THn2AqR1Ki9TAuIOlDQAHqZycWdGFBOhO6d&#10;WDXNBzEBDhFB6ZTo9uEY5JuKb4xW+acxSWfmOk7ccj2xnn05xWYt2x3KOFr1QkP+BwsvbaBHz1AP&#10;Mkv2jPYfKG8VQgKTFwq8AGOs0rUH6mbZ/NXN4yijrr2QOCmeZUqvB6t+7B/jL2R5/gwzDbAIMsXU&#10;Jros/cwGffkTU0ZxkvBwlk3PmalSdLu6vXt/w5mi2Gp587GpuopLdcSUv2rwrBgdRxpLVUvuv6dM&#10;L1LqKaU8lsDZYWudqw7u+i8O2V7SCLf1KySp5CpNXDgXK8/9zOxw1U8Pw4HadN8CiVcW4WTgyehP&#10;hgxqBFqRI8UAn54zGFtpFuwjEhEoDk2lUnnZoDL2a79mXfZ88wcAAP//AwBQSwMEFAAGAAgAAAAh&#10;AJrvtETaAAAABAEAAA8AAABkcnMvZG93bnJldi54bWxMj0FPwzAMhe9I/IfISFwQS1fQQKXpBBvc&#10;4LAx7ey1pq1onCpJ1+7f453Yzc/Peu9zvpxsp47kQ+vYwHyWgCIuXdVybWD3/XH/DCpE5Ao7x2Tg&#10;RAGWxfVVjlnlRt7QcRtrJSEcMjTQxNhnWoeyIYth5npi8X6ctxhF+lpXHkcJt51Ok2ShLbYsDQ32&#10;tGqo/N0O1sBi7Ydxw6u79e79E7/6Ot2/nfbG3N5Mry+gIk3x/xjO+IIOhTAd3MBVUJ0BeSSet0q8&#10;9CmV4WDg4XEOusj1JXzxBwAA//8DAFBLAQItABQABgAIAAAAIQC2gziS/gAAAOEBAAATAAAAAAAA&#10;AAAAAAAAAAAAAABbQ29udGVudF9UeXBlc10ueG1sUEsBAi0AFAAGAAgAAAAhADj9If/WAAAAlAEA&#10;AAsAAAAAAAAAAAAAAAAALwEAAF9yZWxzLy5yZWxzUEsBAi0AFAAGAAgAAAAhAG/ZbRabAQAALwMA&#10;AA4AAAAAAAAAAAAAAAAALgIAAGRycy9lMm9Eb2MueG1sUEsBAi0AFAAGAAgAAAAhAJrvtETaAAAA&#10;BAEAAA8AAAAAAAAAAAAAAAAA9QMAAGRycy9kb3ducmV2LnhtbFBLBQYAAAAABAAEAPMAAAD8BAAA&#10;AAA=&#10;" o:allowincell="f" stroked="f">
          <v:textbox inset="0,0,0,0">
            <w:txbxContent>
              <w:p w14:paraId="7DA41A44" w14:textId="77777777" w:rsidR="00796201" w:rsidRDefault="00552D6D">
                <w:pPr>
                  <w:pStyle w:val="a7"/>
                </w:pPr>
                <w:fldSimple w:instr=" DOCVARIABLE ProjectNumber ">
                  <w:r>
                    <w:t>2024-1276</w:t>
                  </w:r>
                </w:fldSimple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EDC4" w14:textId="77777777" w:rsidR="00660A22" w:rsidRDefault="00660A22">
      <w:r>
        <w:separator/>
      </w:r>
    </w:p>
  </w:footnote>
  <w:footnote w:type="continuationSeparator" w:id="0">
    <w:p w14:paraId="0A6BE369" w14:textId="77777777" w:rsidR="00660A22" w:rsidRDefault="0066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nnotation" w:val="Решение по делу № 073/06/106-118/2024"/>
    <w:docVar w:name="BDCTemplate" w:val="Shablon"/>
    <w:docVar w:name="BossProviderVariable" w:val="f3622f0a-133a-461b-90ba-f23aa62d5ea9"/>
    <w:docVar w:name="Ispolnitel" w:val="Жаворонкова Т.А."/>
    <w:docVar w:name="IspolnitelPhone" w:val="8(8422) 41-32-03"/>
    <w:docVar w:name="KorrespondentOutgoing" w:val="Государственное учреждение здравоохранения «Большенагаткинская районная больница»_x000a_433610, Ульяновская обл. , Цильнинский р-н, с. Большое Нагаткино, Территория больницы, д. 11_x000a_zakupki147@mail.ru_x000a__x000a_Общество с ограниченной ответственностью &quot;ОКТАНТ&quot;_x000a_443066, г. Самара, 2-й Безымянный пер., д. 1_x000a_ oktant@oktantmed.ru"/>
    <w:docVar w:name="PredsedatelDolj" w:val="Заместитель руководителя управления"/>
    <w:docVar w:name="PredsedatelIOF" w:val="К.Ю. Попов"/>
    <w:docVar w:name="ProjectNumber" w:val="2024-1276"/>
  </w:docVars>
  <w:rsids>
    <w:rsidRoot w:val="00796201"/>
    <w:rsid w:val="00552D6D"/>
    <w:rsid w:val="00660A22"/>
    <w:rsid w:val="00796201"/>
    <w:rsid w:val="00BC7F0E"/>
    <w:rsid w:val="00F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05030E2"/>
  <w15:docId w15:val="{ED922FA2-BAA3-46D5-8C94-950402B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врезки"/>
    <w:basedOn w:val="a3"/>
    <w:qFormat/>
  </w:style>
  <w:style w:type="paragraph" w:customStyle="1" w:styleId="a8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10">
    <w:name w:val="Обычная таблица1"/>
    <w:qFormat/>
    <w:rPr>
      <w:rFonts w:eastAsia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1716</Words>
  <Characters>9787</Characters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Printed>2019-12-05T19:08:00Z</cp:lastPrinted>
  <dcterms:created xsi:type="dcterms:W3CDTF">2019-12-05T18:13:00Z</dcterms:created>
  <dcterms:modified xsi:type="dcterms:W3CDTF">2024-04-04T19:01:00Z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ContentHash">
    <vt:lpwstr>NWvvlaVecYQkiCCbwwvrVQ==</vt:lpwstr>
  </property>
  <property fmtid="{D5CDD505-2E9C-101B-9397-08002B2CF9AE}" pid="3" name="PreviousContentHash">
    <vt:lpwstr/>
  </property>
  <property fmtid="{D5CDD505-2E9C-101B-9397-08002B2CF9AE}" pid="4" name="Поле 1">
    <vt:lpwstr/>
  </property>
  <property fmtid="{D5CDD505-2E9C-101B-9397-08002B2CF9AE}" pid="5" name="Поле 2">
    <vt:lpwstr/>
  </property>
  <property fmtid="{D5CDD505-2E9C-101B-9397-08002B2CF9AE}" pid="6" name="Поле 3">
    <vt:lpwstr/>
  </property>
  <property fmtid="{D5CDD505-2E9C-101B-9397-08002B2CF9AE}" pid="7" name="Поле 4">
    <vt:lpwstr/>
  </property>
</Properties>
</file>